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9346" w14:textId="77777777" w:rsidR="000C35FD" w:rsidRPr="000C35FD" w:rsidRDefault="000C35FD" w:rsidP="000C35FD">
      <w:pPr>
        <w:widowControl/>
        <w:pBdr>
          <w:bottom w:val="single" w:sz="12" w:space="8" w:color="717171"/>
        </w:pBdr>
        <w:spacing w:line="675" w:lineRule="atLeast"/>
        <w:jc w:val="center"/>
        <w:outlineLvl w:val="0"/>
        <w:rPr>
          <w:rFonts w:ascii="微软雅黑" w:eastAsia="微软雅黑" w:hAnsi="微软雅黑" w:cs="宋体"/>
          <w:color w:val="333333"/>
          <w:kern w:val="36"/>
          <w:sz w:val="39"/>
          <w:szCs w:val="39"/>
        </w:rPr>
      </w:pPr>
      <w:r w:rsidRPr="000C35FD">
        <w:rPr>
          <w:rFonts w:ascii="微软雅黑" w:eastAsia="微软雅黑" w:hAnsi="微软雅黑" w:cs="宋体" w:hint="eastAsia"/>
          <w:color w:val="333333"/>
          <w:kern w:val="36"/>
          <w:sz w:val="39"/>
          <w:szCs w:val="39"/>
        </w:rPr>
        <w:t>浙江杭州医学院教育基金会财务管理制度</w:t>
      </w:r>
    </w:p>
    <w:p w14:paraId="113C4E61" w14:textId="77777777" w:rsidR="000C35FD" w:rsidRPr="00B005CF" w:rsidRDefault="000C35FD" w:rsidP="000C35FD">
      <w:pPr>
        <w:widowControl/>
        <w:spacing w:line="330" w:lineRule="atLeast"/>
        <w:ind w:firstLine="645"/>
        <w:jc w:val="center"/>
        <w:rPr>
          <w:rFonts w:ascii="微软雅黑" w:eastAsia="微软雅黑" w:hAnsi="微软雅黑" w:cs="宋体"/>
          <w:color w:val="333333"/>
          <w:kern w:val="0"/>
          <w:sz w:val="24"/>
          <w:szCs w:val="24"/>
        </w:rPr>
      </w:pPr>
    </w:p>
    <w:p w14:paraId="51978800"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第一章 总则</w:t>
      </w:r>
    </w:p>
    <w:p w14:paraId="3D493AA5"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第一条 </w:t>
      </w:r>
      <w:r w:rsidRPr="000C35FD">
        <w:rPr>
          <w:rFonts w:ascii="微软雅黑" w:eastAsia="微软雅黑" w:hAnsi="微软雅黑" w:cs="宋体" w:hint="eastAsia"/>
          <w:color w:val="333333"/>
          <w:kern w:val="0"/>
          <w:sz w:val="24"/>
          <w:szCs w:val="24"/>
          <w:bdr w:val="none" w:sz="0" w:space="0" w:color="auto" w:frame="1"/>
        </w:rPr>
        <w:t>为规范基金会的财务行为，加强财务管理，提高基金会的资金使用效益和财务管理水平，保证基金会公益事业健康发展，根据《中华人民共和国会计法》（1999年修正）、《基金会管理条例》（国务院令第400号）、《民间非营利组织会计制度》（财会〔2004〕7号）、《行政事业单位内部控制规范（试行）》（财会〔2012〕21号）、《关于规范基金会行为的若干规定（试行）》（民发〔2012〕124号）等文件精神及国家有关规定，结合本基金会的实际情况，制定本制度。</w:t>
      </w:r>
    </w:p>
    <w:p w14:paraId="3D5BB331"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第二条 </w:t>
      </w:r>
      <w:r w:rsidRPr="000C35FD">
        <w:rPr>
          <w:rFonts w:ascii="微软雅黑" w:eastAsia="微软雅黑" w:hAnsi="微软雅黑" w:cs="宋体" w:hint="eastAsia"/>
          <w:color w:val="333333"/>
          <w:kern w:val="0"/>
          <w:sz w:val="24"/>
          <w:szCs w:val="24"/>
          <w:bdr w:val="none" w:sz="0" w:space="0" w:color="auto" w:frame="1"/>
        </w:rPr>
        <w:t>基金会财务管理的基本原则是：执行国家有关法律、法规和财务制度，坚持严格管理和合理使用捐赠资金，以支持公益事业发展和基金会工作的顺利开展。</w:t>
      </w:r>
    </w:p>
    <w:p w14:paraId="01F6442F"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第三条 </w:t>
      </w:r>
      <w:r w:rsidRPr="000C35FD">
        <w:rPr>
          <w:rFonts w:ascii="微软雅黑" w:eastAsia="微软雅黑" w:hAnsi="微软雅黑" w:cs="宋体" w:hint="eastAsia"/>
          <w:color w:val="333333"/>
          <w:kern w:val="0"/>
          <w:sz w:val="24"/>
          <w:szCs w:val="24"/>
          <w:bdr w:val="none" w:sz="0" w:space="0" w:color="auto" w:frame="1"/>
        </w:rPr>
        <w:t>基金会财务管理的主要任务是：根据基金会事业发展的需要，如实反映基金会的财务状况，建立健全财务管理制度，加强经济核算，提高资金增值效益，对基金会的财务活动进行事前、事中、事后全方位的管理、控制和监督。</w:t>
      </w:r>
    </w:p>
    <w:p w14:paraId="5FA26955"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第四条 </w:t>
      </w:r>
      <w:r w:rsidRPr="000C35FD">
        <w:rPr>
          <w:rFonts w:ascii="微软雅黑" w:eastAsia="微软雅黑" w:hAnsi="微软雅黑" w:cs="宋体" w:hint="eastAsia"/>
          <w:color w:val="333333"/>
          <w:kern w:val="0"/>
          <w:sz w:val="24"/>
          <w:szCs w:val="24"/>
          <w:bdr w:val="none" w:sz="0" w:space="0" w:color="auto" w:frame="1"/>
        </w:rPr>
        <w:t>在基金会理事会领导下，理事长对本单位财务管理制度的建立健全及有效实施负责。</w:t>
      </w:r>
    </w:p>
    <w:p w14:paraId="74AFCCCD"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第二章 会计机构及人员</w:t>
      </w:r>
    </w:p>
    <w:p w14:paraId="1750CD09"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lastRenderedPageBreak/>
        <w:t>第五条 </w:t>
      </w:r>
      <w:r w:rsidRPr="000C35FD">
        <w:rPr>
          <w:rFonts w:ascii="微软雅黑" w:eastAsia="微软雅黑" w:hAnsi="微软雅黑" w:cs="宋体" w:hint="eastAsia"/>
          <w:color w:val="333333"/>
          <w:kern w:val="0"/>
          <w:sz w:val="24"/>
          <w:szCs w:val="24"/>
          <w:bdr w:val="none" w:sz="0" w:space="0" w:color="auto" w:frame="1"/>
        </w:rPr>
        <w:t>按照《会计法》规定及基金会开展业务活动需要，设置基金会的财务会计机构，配备财务人员。</w:t>
      </w:r>
    </w:p>
    <w:p w14:paraId="11D68FCA"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第六条 </w:t>
      </w:r>
      <w:r w:rsidRPr="000C35FD">
        <w:rPr>
          <w:rFonts w:ascii="微软雅黑" w:eastAsia="微软雅黑" w:hAnsi="微软雅黑" w:cs="宋体" w:hint="eastAsia"/>
          <w:color w:val="333333"/>
          <w:kern w:val="0"/>
          <w:sz w:val="24"/>
          <w:szCs w:val="24"/>
          <w:bdr w:val="none" w:sz="0" w:space="0" w:color="auto" w:frame="1"/>
        </w:rPr>
        <w:t>建立健全财务人员岗位职责，做到岗位明确，以岗定责，权责分明。</w:t>
      </w:r>
    </w:p>
    <w:p w14:paraId="6F56F0BA"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1、出纳人员不得兼任稽核、会计档案保管和收入、支出、费用、债权债务账目的登记工作。</w:t>
      </w:r>
    </w:p>
    <w:p w14:paraId="755E002F"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2、会计不得经手现金、银行存款、有价证券的保管和收付工作。</w:t>
      </w:r>
    </w:p>
    <w:p w14:paraId="323A0B94"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第七条 </w:t>
      </w:r>
      <w:r w:rsidRPr="000C35FD">
        <w:rPr>
          <w:rFonts w:ascii="微软雅黑" w:eastAsia="微软雅黑" w:hAnsi="微软雅黑" w:cs="宋体" w:hint="eastAsia"/>
          <w:color w:val="333333"/>
          <w:kern w:val="0"/>
          <w:sz w:val="24"/>
          <w:szCs w:val="24"/>
          <w:bdr w:val="none" w:sz="0" w:space="0" w:color="auto" w:frame="1"/>
        </w:rPr>
        <w:t>财会人员工作调动，必须按《会计法》（1999年修正）、《会计基础工作规范》（财会字〔1996〕19号）的规定办理移交手续，并履行监交程序，在规定的期限内做好财务人员交接手续，包括：</w:t>
      </w:r>
    </w:p>
    <w:p w14:paraId="77DAF405"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1、整理待移交的各项资料，对未了事项写出书面材料；</w:t>
      </w:r>
    </w:p>
    <w:p w14:paraId="25D05A0E"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2、编制移交清册，列明应该移交的凭证、账表、印章、现金、支票登记簿以及其他有关台账、文件、资料和其他物品。</w:t>
      </w:r>
    </w:p>
    <w:p w14:paraId="451B96D7"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3、一般财务人员移交由财务部门负责人进行监交，会计主管由分管财务领导监交。移交文件由移交双方及监交人共同签字。</w:t>
      </w:r>
    </w:p>
    <w:p w14:paraId="4E768215"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第八条 </w:t>
      </w:r>
      <w:r w:rsidRPr="000C35FD">
        <w:rPr>
          <w:rFonts w:ascii="微软雅黑" w:eastAsia="微软雅黑" w:hAnsi="微软雅黑" w:cs="宋体" w:hint="eastAsia"/>
          <w:color w:val="333333"/>
          <w:kern w:val="0"/>
          <w:sz w:val="24"/>
          <w:szCs w:val="24"/>
          <w:bdr w:val="none" w:sz="0" w:space="0" w:color="auto" w:frame="1"/>
        </w:rPr>
        <w:t>会计人员对不合理、不真实、不完整的原始凭证和违反国家财务制度规定的收支，应坚持原则，拒绝办理，并及时向主管领导汇报。</w:t>
      </w:r>
    </w:p>
    <w:p w14:paraId="33694083"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第九条 </w:t>
      </w:r>
      <w:r w:rsidRPr="000C35FD">
        <w:rPr>
          <w:rFonts w:ascii="微软雅黑" w:eastAsia="微软雅黑" w:hAnsi="微软雅黑" w:cs="宋体" w:hint="eastAsia"/>
          <w:color w:val="333333"/>
          <w:kern w:val="0"/>
          <w:sz w:val="24"/>
          <w:szCs w:val="24"/>
          <w:bdr w:val="none" w:sz="0" w:space="0" w:color="auto" w:frame="1"/>
        </w:rPr>
        <w:t>会计人员要具备良好的职业道德，遵纪守法，办事公正。</w:t>
      </w:r>
    </w:p>
    <w:p w14:paraId="67DCB61B"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第三章 会计核算</w:t>
      </w:r>
    </w:p>
    <w:p w14:paraId="194325D1"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 </w:t>
      </w:r>
    </w:p>
    <w:p w14:paraId="400E8E01"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第十条 </w:t>
      </w:r>
      <w:r w:rsidRPr="000C35FD">
        <w:rPr>
          <w:rFonts w:ascii="微软雅黑" w:eastAsia="微软雅黑" w:hAnsi="微软雅黑" w:cs="宋体" w:hint="eastAsia"/>
          <w:color w:val="333333"/>
          <w:kern w:val="0"/>
          <w:sz w:val="24"/>
          <w:szCs w:val="24"/>
          <w:bdr w:val="none" w:sz="0" w:space="0" w:color="auto" w:frame="1"/>
        </w:rPr>
        <w:t>会计核算必须根据基金会实际发生的经济业务事项进行会计核算，填制会计凭证，登记会计账簿，编制会计报表。</w:t>
      </w:r>
    </w:p>
    <w:p w14:paraId="096A965B"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lastRenderedPageBreak/>
        <w:t>第十一条 </w:t>
      </w:r>
      <w:r w:rsidRPr="000C35FD">
        <w:rPr>
          <w:rFonts w:ascii="微软雅黑" w:eastAsia="微软雅黑" w:hAnsi="微软雅黑" w:cs="宋体" w:hint="eastAsia"/>
          <w:color w:val="333333"/>
          <w:kern w:val="0"/>
          <w:sz w:val="24"/>
          <w:szCs w:val="24"/>
          <w:bdr w:val="none" w:sz="0" w:space="0" w:color="auto" w:frame="1"/>
        </w:rPr>
        <w:t>原始凭证是一切经济业务发生或完成时取得的，是进行会计核算的重要资料。每一项经济业务发生都必须取得原始凭证。对原始凭证的基本要求是：真实可靠，取得及时、内容完整清楚，具有合法性与完整性。会计人员必须认真审核原始凭证的真实性、合法性、完整性和正确性。</w:t>
      </w:r>
    </w:p>
    <w:p w14:paraId="5916DA4D"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第十二条 </w:t>
      </w:r>
      <w:r w:rsidRPr="000C35FD">
        <w:rPr>
          <w:rFonts w:ascii="微软雅黑" w:eastAsia="微软雅黑" w:hAnsi="微软雅黑" w:cs="宋体" w:hint="eastAsia"/>
          <w:color w:val="333333"/>
          <w:kern w:val="0"/>
          <w:sz w:val="24"/>
          <w:szCs w:val="24"/>
          <w:bdr w:val="none" w:sz="0" w:space="0" w:color="auto" w:frame="1"/>
        </w:rPr>
        <w:t>记账凭证是登记账簿的基础，为保证会计账簿能够真实地反映经济业务活动的本来面貌，确保会计资料真实完整，记账凭证必须统一格式，以原始凭证为依据。填制凭证必须符合会计制度要求，要连续编号，记录明确，签章齐全，会计科目运用准确，摘要简明，附件数量完整，文字清晰，对应关系清楚，数字内容与原始凭证一致。</w:t>
      </w:r>
    </w:p>
    <w:p w14:paraId="5CC1B37B"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第十三条 </w:t>
      </w:r>
      <w:r w:rsidRPr="000C35FD">
        <w:rPr>
          <w:rFonts w:ascii="微软雅黑" w:eastAsia="微软雅黑" w:hAnsi="微软雅黑" w:cs="宋体" w:hint="eastAsia"/>
          <w:color w:val="333333"/>
          <w:kern w:val="0"/>
          <w:sz w:val="24"/>
          <w:szCs w:val="24"/>
          <w:bdr w:val="none" w:sz="0" w:space="0" w:color="auto" w:frame="1"/>
        </w:rPr>
        <w:t>根据《民间非营利组织会计制度》的要求设置会计科目，并结合基金会的实际情况，增加相关的二级、三级会计科目。</w:t>
      </w:r>
    </w:p>
    <w:p w14:paraId="0E0F6B06"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第十四条 </w:t>
      </w:r>
      <w:r w:rsidRPr="000C35FD">
        <w:rPr>
          <w:rFonts w:ascii="微软雅黑" w:eastAsia="微软雅黑" w:hAnsi="微软雅黑" w:cs="宋体" w:hint="eastAsia"/>
          <w:color w:val="333333"/>
          <w:kern w:val="0"/>
          <w:sz w:val="24"/>
          <w:szCs w:val="24"/>
          <w:bdr w:val="none" w:sz="0" w:space="0" w:color="auto" w:frame="1"/>
        </w:rPr>
        <w:t>会计报表是反映一定时期财务状况和业务活动成果的书面文件。编制会计报表要做到数据真实准确、内容完整、编报及时。</w:t>
      </w:r>
    </w:p>
    <w:p w14:paraId="008989E5"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第四章 现金和银行存款</w:t>
      </w:r>
    </w:p>
    <w:p w14:paraId="377BB8F6"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第十五条 </w:t>
      </w:r>
      <w:r w:rsidRPr="000C35FD">
        <w:rPr>
          <w:rFonts w:ascii="微软雅黑" w:eastAsia="微软雅黑" w:hAnsi="微软雅黑" w:cs="宋体" w:hint="eastAsia"/>
          <w:color w:val="333333"/>
          <w:kern w:val="0"/>
          <w:sz w:val="24"/>
          <w:szCs w:val="24"/>
          <w:bdr w:val="none" w:sz="0" w:space="0" w:color="auto" w:frame="1"/>
        </w:rPr>
        <w:t>现金是指存放在财务部门，由出纳人员保管的库存现金，包括人民币和外币。基金会须按照《现金管理暂行条例》（国务院令1988年第12号）的规定办理现金的收付，属于《浙江省省级预算单位公务卡强制结算目录》（</w:t>
      </w:r>
      <w:proofErr w:type="gramStart"/>
      <w:r w:rsidRPr="000C35FD">
        <w:rPr>
          <w:rFonts w:ascii="微软雅黑" w:eastAsia="微软雅黑" w:hAnsi="微软雅黑" w:cs="宋体" w:hint="eastAsia"/>
          <w:color w:val="333333"/>
          <w:kern w:val="0"/>
          <w:sz w:val="24"/>
          <w:szCs w:val="24"/>
          <w:bdr w:val="none" w:sz="0" w:space="0" w:color="auto" w:frame="1"/>
        </w:rPr>
        <w:t>浙财预</w:t>
      </w:r>
      <w:proofErr w:type="gramEnd"/>
      <w:r w:rsidRPr="000C35FD">
        <w:rPr>
          <w:rFonts w:ascii="微软雅黑" w:eastAsia="微软雅黑" w:hAnsi="微软雅黑" w:cs="宋体" w:hint="eastAsia"/>
          <w:color w:val="333333"/>
          <w:kern w:val="0"/>
          <w:sz w:val="24"/>
          <w:szCs w:val="24"/>
          <w:bdr w:val="none" w:sz="0" w:space="0" w:color="auto" w:frame="1"/>
        </w:rPr>
        <w:t>执〔2012〕15号）规定的公务支出项目，原则上应使用公务卡或转账结算，特殊情况使用现金支出的，要填写现金支付情况说明书。</w:t>
      </w:r>
    </w:p>
    <w:p w14:paraId="207373A3"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lastRenderedPageBreak/>
        <w:t>第十六条 </w:t>
      </w:r>
      <w:r w:rsidRPr="000C35FD">
        <w:rPr>
          <w:rFonts w:ascii="微软雅黑" w:eastAsia="微软雅黑" w:hAnsi="微软雅黑" w:cs="宋体" w:hint="eastAsia"/>
          <w:color w:val="333333"/>
          <w:kern w:val="0"/>
          <w:sz w:val="24"/>
          <w:szCs w:val="24"/>
          <w:bdr w:val="none" w:sz="0" w:space="0" w:color="auto" w:frame="1"/>
        </w:rPr>
        <w:t>库存现金是为保证日常零星开支的需要，允许留存的现金最高限额，本基金会的库存现金限额为20,000元，超过库存限额部分应在当天解缴银行。</w:t>
      </w:r>
    </w:p>
    <w:p w14:paraId="0827F0FC"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第十七条 </w:t>
      </w:r>
      <w:r w:rsidRPr="000C35FD">
        <w:rPr>
          <w:rFonts w:ascii="微软雅黑" w:eastAsia="微软雅黑" w:hAnsi="微软雅黑" w:cs="宋体" w:hint="eastAsia"/>
          <w:color w:val="333333"/>
          <w:kern w:val="0"/>
          <w:sz w:val="24"/>
          <w:szCs w:val="24"/>
          <w:bdr w:val="none" w:sz="0" w:space="0" w:color="auto" w:frame="1"/>
        </w:rPr>
        <w:t>接受捐赠、提供服务等经营活动发生的现金收入应及时送存银行，不得坐支现金；不能用不符合规定的凭证顶替现金，即不得白条抵库；不得谎报用途套取现金；不得公款私存。</w:t>
      </w:r>
    </w:p>
    <w:p w14:paraId="7F54B2EF"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第十八条 </w:t>
      </w:r>
      <w:r w:rsidRPr="000C35FD">
        <w:rPr>
          <w:rFonts w:ascii="微软雅黑" w:eastAsia="微软雅黑" w:hAnsi="微软雅黑" w:cs="宋体" w:hint="eastAsia"/>
          <w:color w:val="333333"/>
          <w:kern w:val="0"/>
          <w:sz w:val="24"/>
          <w:szCs w:val="24"/>
          <w:bdr w:val="none" w:sz="0" w:space="0" w:color="auto" w:frame="1"/>
        </w:rPr>
        <w:t>现金要做到日清月结，每日业务结束后，出纳应将库存现金与现金日记账余额进行核对是否相符。会计应不定期对现金进行抽盘，确保现金账面余额与实际库存相符。如发现现金账面余额与实际库存不符，须及时查明原因,并按相关规定处理。</w:t>
      </w:r>
    </w:p>
    <w:p w14:paraId="6F616E49"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第十九条 </w:t>
      </w:r>
      <w:r w:rsidRPr="000C35FD">
        <w:rPr>
          <w:rFonts w:ascii="微软雅黑" w:eastAsia="微软雅黑" w:hAnsi="微软雅黑" w:cs="宋体" w:hint="eastAsia"/>
          <w:color w:val="333333"/>
          <w:kern w:val="0"/>
          <w:sz w:val="24"/>
          <w:szCs w:val="24"/>
          <w:bdr w:val="none" w:sz="0" w:space="0" w:color="auto" w:frame="1"/>
        </w:rPr>
        <w:t>银行存款是指存放在银行或其他金融机构的货币资金。</w:t>
      </w:r>
    </w:p>
    <w:p w14:paraId="07D0E347"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第二十条 </w:t>
      </w:r>
      <w:r w:rsidRPr="000C35FD">
        <w:rPr>
          <w:rFonts w:ascii="微软雅黑" w:eastAsia="微软雅黑" w:hAnsi="微软雅黑" w:cs="宋体" w:hint="eastAsia"/>
          <w:color w:val="333333"/>
          <w:kern w:val="0"/>
          <w:sz w:val="24"/>
          <w:szCs w:val="24"/>
          <w:bdr w:val="none" w:sz="0" w:space="0" w:color="auto" w:frame="1"/>
        </w:rPr>
        <w:t>会计每月核对银行存款，按月编制银行存款余额调节表。不允许出现超过两个月的未达帐，每月查明未达账项原因并及时处理。</w:t>
      </w:r>
    </w:p>
    <w:p w14:paraId="73ABDEE6"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第二十一条 </w:t>
      </w:r>
      <w:r w:rsidRPr="000C35FD">
        <w:rPr>
          <w:rFonts w:ascii="微软雅黑" w:eastAsia="微软雅黑" w:hAnsi="微软雅黑" w:cs="宋体" w:hint="eastAsia"/>
          <w:color w:val="333333"/>
          <w:kern w:val="0"/>
          <w:sz w:val="24"/>
          <w:szCs w:val="24"/>
          <w:bdr w:val="none" w:sz="0" w:space="0" w:color="auto" w:frame="1"/>
        </w:rPr>
        <w:t>取得的货币资金收入必须及时全额入账，不得私设“小金库”，不得</w:t>
      </w:r>
      <w:proofErr w:type="gramStart"/>
      <w:r w:rsidRPr="000C35FD">
        <w:rPr>
          <w:rFonts w:ascii="微软雅黑" w:eastAsia="微软雅黑" w:hAnsi="微软雅黑" w:cs="宋体" w:hint="eastAsia"/>
          <w:color w:val="333333"/>
          <w:kern w:val="0"/>
          <w:sz w:val="24"/>
          <w:szCs w:val="24"/>
          <w:bdr w:val="none" w:sz="0" w:space="0" w:color="auto" w:frame="1"/>
        </w:rPr>
        <w:t>账</w:t>
      </w:r>
      <w:proofErr w:type="gramEnd"/>
      <w:r w:rsidRPr="000C35FD">
        <w:rPr>
          <w:rFonts w:ascii="微软雅黑" w:eastAsia="微软雅黑" w:hAnsi="微软雅黑" w:cs="宋体" w:hint="eastAsia"/>
          <w:color w:val="333333"/>
          <w:kern w:val="0"/>
          <w:sz w:val="24"/>
          <w:szCs w:val="24"/>
          <w:bdr w:val="none" w:sz="0" w:space="0" w:color="auto" w:frame="1"/>
        </w:rPr>
        <w:t>外设账，严禁收款不入账。</w:t>
      </w:r>
    </w:p>
    <w:p w14:paraId="23932208"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第二十二条 </w:t>
      </w:r>
      <w:r w:rsidRPr="000C35FD">
        <w:rPr>
          <w:rFonts w:ascii="微软雅黑" w:eastAsia="微软雅黑" w:hAnsi="微软雅黑" w:cs="宋体" w:hint="eastAsia"/>
          <w:color w:val="333333"/>
          <w:kern w:val="0"/>
          <w:sz w:val="24"/>
          <w:szCs w:val="24"/>
          <w:bdr w:val="none" w:sz="0" w:space="0" w:color="auto" w:frame="1"/>
        </w:rPr>
        <w:t>出纳应根据审核无误的记账凭证办理货币资金收付款业务。</w:t>
      </w:r>
    </w:p>
    <w:p w14:paraId="5E8D45C6"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第五章 票据及有关印章的管理</w:t>
      </w:r>
    </w:p>
    <w:p w14:paraId="6CBAB7F6"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第二十三条 </w:t>
      </w:r>
      <w:r w:rsidRPr="000C35FD">
        <w:rPr>
          <w:rFonts w:ascii="微软雅黑" w:eastAsia="微软雅黑" w:hAnsi="微软雅黑" w:cs="宋体" w:hint="eastAsia"/>
          <w:color w:val="333333"/>
          <w:kern w:val="0"/>
          <w:sz w:val="24"/>
          <w:szCs w:val="24"/>
          <w:bdr w:val="none" w:sz="0" w:space="0" w:color="auto" w:frame="1"/>
        </w:rPr>
        <w:t>票据是指公益事业捐赠票据、行政事业单位（社会团体）资金往来款票据、增值税发票、银行票据等。</w:t>
      </w:r>
    </w:p>
    <w:p w14:paraId="52303BF2"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第二十四条 </w:t>
      </w:r>
      <w:r w:rsidRPr="000C35FD">
        <w:rPr>
          <w:rFonts w:ascii="微软雅黑" w:eastAsia="微软雅黑" w:hAnsi="微软雅黑" w:cs="宋体" w:hint="eastAsia"/>
          <w:color w:val="333333"/>
          <w:kern w:val="0"/>
          <w:sz w:val="24"/>
          <w:szCs w:val="24"/>
          <w:bdr w:val="none" w:sz="0" w:space="0" w:color="auto" w:frame="1"/>
        </w:rPr>
        <w:t>各类票据用途</w:t>
      </w:r>
    </w:p>
    <w:p w14:paraId="1F789C31"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lastRenderedPageBreak/>
        <w:t>1、公益事业捐赠票据是向财政部门申领的用于接受自然人、法人及其他组织自愿捐赠款物时开具的票据。</w:t>
      </w:r>
    </w:p>
    <w:p w14:paraId="710CBF24"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2、行政事业单位（社会团体）资金往来款票据是向财政部门申领的用于在发生暂收、代收和单位内部资金往来结算等经济活动时开具的票据。</w:t>
      </w:r>
    </w:p>
    <w:p w14:paraId="110DC2E4"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3、增值税发票是向国税部门申领的用于经营服务活动取得收入时向付款单位开具的发票。</w:t>
      </w:r>
    </w:p>
    <w:p w14:paraId="57FA4D37"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4、银行票据是向银行申购的在支付款项时签发的支票、汇票等票据，事先不得加盖银行预留印鉴。</w:t>
      </w:r>
    </w:p>
    <w:p w14:paraId="38710D26"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第二十五条 </w:t>
      </w:r>
      <w:r w:rsidRPr="000C35FD">
        <w:rPr>
          <w:rFonts w:ascii="微软雅黑" w:eastAsia="微软雅黑" w:hAnsi="微软雅黑" w:cs="宋体" w:hint="eastAsia"/>
          <w:color w:val="333333"/>
          <w:kern w:val="0"/>
          <w:sz w:val="24"/>
          <w:szCs w:val="24"/>
          <w:bdr w:val="none" w:sz="0" w:space="0" w:color="auto" w:frame="1"/>
        </w:rPr>
        <w:t>票据保管、使用与核销</w:t>
      </w:r>
    </w:p>
    <w:p w14:paraId="6412404C"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1、票据保管，由专人负责，及时做好票据入库、领出、收回、作废及结存情况登记工作。</w:t>
      </w:r>
    </w:p>
    <w:p w14:paraId="2B39871E"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2、票据使用，原则上仅限财务处人员，上一本结清，再领下一本。其他部门因业务需要领用票据，应当</w:t>
      </w:r>
      <w:proofErr w:type="gramStart"/>
      <w:r w:rsidRPr="000C35FD">
        <w:rPr>
          <w:rFonts w:ascii="微软雅黑" w:eastAsia="微软雅黑" w:hAnsi="微软雅黑" w:cs="宋体" w:hint="eastAsia"/>
          <w:color w:val="333333"/>
          <w:kern w:val="0"/>
          <w:sz w:val="24"/>
          <w:szCs w:val="24"/>
          <w:bdr w:val="none" w:sz="0" w:space="0" w:color="auto" w:frame="1"/>
        </w:rPr>
        <w:t>办理借领手续</w:t>
      </w:r>
      <w:proofErr w:type="gramEnd"/>
      <w:r w:rsidRPr="000C35FD">
        <w:rPr>
          <w:rFonts w:ascii="微软雅黑" w:eastAsia="微软雅黑" w:hAnsi="微软雅黑" w:cs="宋体" w:hint="eastAsia"/>
          <w:color w:val="333333"/>
          <w:kern w:val="0"/>
          <w:sz w:val="24"/>
          <w:szCs w:val="24"/>
          <w:bdr w:val="none" w:sz="0" w:space="0" w:color="auto" w:frame="1"/>
        </w:rPr>
        <w:t>，并及时归还结算。领用人应按照票据使用范围开具票据，内容填写完整，大小写金额书写规范，作废的票据应加盖“作废”章，</w:t>
      </w:r>
      <w:proofErr w:type="gramStart"/>
      <w:r w:rsidRPr="000C35FD">
        <w:rPr>
          <w:rFonts w:ascii="微软雅黑" w:eastAsia="微软雅黑" w:hAnsi="微软雅黑" w:cs="宋体" w:hint="eastAsia"/>
          <w:color w:val="333333"/>
          <w:kern w:val="0"/>
          <w:sz w:val="24"/>
          <w:szCs w:val="24"/>
          <w:bdr w:val="none" w:sz="0" w:space="0" w:color="auto" w:frame="1"/>
        </w:rPr>
        <w:t>且联次要</w:t>
      </w:r>
      <w:proofErr w:type="gramEnd"/>
      <w:r w:rsidRPr="000C35FD">
        <w:rPr>
          <w:rFonts w:ascii="微软雅黑" w:eastAsia="微软雅黑" w:hAnsi="微软雅黑" w:cs="宋体" w:hint="eastAsia"/>
          <w:color w:val="333333"/>
          <w:kern w:val="0"/>
          <w:sz w:val="24"/>
          <w:szCs w:val="24"/>
          <w:bdr w:val="none" w:sz="0" w:space="0" w:color="auto" w:frame="1"/>
        </w:rPr>
        <w:t>保留完整。</w:t>
      </w:r>
    </w:p>
    <w:p w14:paraId="590145C4"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3、票据核销，由专人负责，应注明入账凭证号码、内容、金额，按规定报相关部门核销。</w:t>
      </w:r>
    </w:p>
    <w:p w14:paraId="20DE4F11" w14:textId="77777777" w:rsidR="000C35FD" w:rsidRPr="000C35FD" w:rsidRDefault="000C35FD" w:rsidP="000C35FD">
      <w:pPr>
        <w:widowControl/>
        <w:spacing w:line="450" w:lineRule="atLeast"/>
        <w:ind w:left="210"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4、如有票据遗失，须向有关机关报告并登报申明作废。</w:t>
      </w:r>
    </w:p>
    <w:p w14:paraId="0B8BF102"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第二十六条 </w:t>
      </w:r>
      <w:r w:rsidRPr="000C35FD">
        <w:rPr>
          <w:rFonts w:ascii="微软雅黑" w:eastAsia="微软雅黑" w:hAnsi="微软雅黑" w:cs="宋体" w:hint="eastAsia"/>
          <w:color w:val="333333"/>
          <w:kern w:val="0"/>
          <w:sz w:val="24"/>
          <w:szCs w:val="24"/>
          <w:bdr w:val="none" w:sz="0" w:space="0" w:color="auto" w:frame="1"/>
        </w:rPr>
        <w:t>印章保管。严禁一人保管支付款项所需的全部印章，法人代表个人名章由会计保管，财务专用章由出纳保管，不得随意放置或携带印章外出。</w:t>
      </w:r>
    </w:p>
    <w:p w14:paraId="12A98530"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第六章 网上银行管理</w:t>
      </w:r>
    </w:p>
    <w:p w14:paraId="0C674367"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lastRenderedPageBreak/>
        <w:t>第二十七条 </w:t>
      </w:r>
      <w:r w:rsidRPr="000C35FD">
        <w:rPr>
          <w:rFonts w:ascii="微软雅黑" w:eastAsia="微软雅黑" w:hAnsi="微软雅黑" w:cs="宋体" w:hint="eastAsia"/>
          <w:color w:val="333333"/>
          <w:kern w:val="0"/>
          <w:sz w:val="24"/>
          <w:szCs w:val="24"/>
          <w:bdr w:val="none" w:sz="0" w:space="0" w:color="auto" w:frame="1"/>
        </w:rPr>
        <w:t>网上银行采用多级管理权限进行管理，即出纳制单、会计分级组合授权模式，开通专人专用证书U盾4个。</w:t>
      </w:r>
    </w:p>
    <w:p w14:paraId="70918C66"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第二十八条 </w:t>
      </w:r>
      <w:r w:rsidRPr="000C35FD">
        <w:rPr>
          <w:rFonts w:ascii="微软雅黑" w:eastAsia="微软雅黑" w:hAnsi="微软雅黑" w:cs="宋体" w:hint="eastAsia"/>
          <w:color w:val="333333"/>
          <w:kern w:val="0"/>
          <w:sz w:val="24"/>
          <w:szCs w:val="24"/>
          <w:bdr w:val="none" w:sz="0" w:space="0" w:color="auto" w:frame="1"/>
        </w:rPr>
        <w:t>办理网上银行业务必须严格按照规定的授权与流程进行操作，至少由两人以上方能完成支付业务。其中20万元以下由出纳制单、会计人员审核；20万元及以上至100万元需增加一名会计复核；100万元及以上还需财务处负责人复核。</w:t>
      </w:r>
    </w:p>
    <w:p w14:paraId="1AC417EC"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第二十九条 </w:t>
      </w:r>
      <w:proofErr w:type="gramStart"/>
      <w:r w:rsidRPr="000C35FD">
        <w:rPr>
          <w:rFonts w:ascii="微软雅黑" w:eastAsia="微软雅黑" w:hAnsi="微软雅黑" w:cs="宋体" w:hint="eastAsia"/>
          <w:color w:val="333333"/>
          <w:kern w:val="0"/>
          <w:sz w:val="24"/>
          <w:szCs w:val="24"/>
          <w:bdr w:val="none" w:sz="0" w:space="0" w:color="auto" w:frame="1"/>
        </w:rPr>
        <w:t>网银业务</w:t>
      </w:r>
      <w:proofErr w:type="gramEnd"/>
      <w:r w:rsidRPr="000C35FD">
        <w:rPr>
          <w:rFonts w:ascii="微软雅黑" w:eastAsia="微软雅黑" w:hAnsi="微软雅黑" w:cs="宋体" w:hint="eastAsia"/>
          <w:color w:val="333333"/>
          <w:kern w:val="0"/>
          <w:sz w:val="24"/>
          <w:szCs w:val="24"/>
          <w:bdr w:val="none" w:sz="0" w:space="0" w:color="auto" w:frame="1"/>
        </w:rPr>
        <w:t>一旦操作成功，若发生收款方信息有误需重新办理时，必须在收到银行退款单，并对该笔业务重新核对信息、重新审核制单并复核后，方可重新汇款。</w:t>
      </w:r>
    </w:p>
    <w:p w14:paraId="6FD67DBE"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第三十条 </w:t>
      </w:r>
      <w:r w:rsidRPr="000C35FD">
        <w:rPr>
          <w:rFonts w:ascii="微软雅黑" w:eastAsia="微软雅黑" w:hAnsi="微软雅黑" w:cs="宋体" w:hint="eastAsia"/>
          <w:color w:val="333333"/>
          <w:kern w:val="0"/>
          <w:sz w:val="24"/>
          <w:szCs w:val="24"/>
          <w:bdr w:val="none" w:sz="0" w:space="0" w:color="auto" w:frame="1"/>
        </w:rPr>
        <w:t>出纳应及时打印每笔网上交易业务回单，作为原始凭证的附件，以备事后查询。</w:t>
      </w:r>
    </w:p>
    <w:p w14:paraId="12A2C708"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第三十一条 </w:t>
      </w:r>
      <w:r w:rsidRPr="000C35FD">
        <w:rPr>
          <w:rFonts w:ascii="微软雅黑" w:eastAsia="微软雅黑" w:hAnsi="微软雅黑" w:cs="宋体" w:hint="eastAsia"/>
          <w:color w:val="333333"/>
          <w:kern w:val="0"/>
          <w:sz w:val="24"/>
          <w:szCs w:val="24"/>
          <w:bdr w:val="none" w:sz="0" w:space="0" w:color="auto" w:frame="1"/>
        </w:rPr>
        <w:t>由于网络、系统或其他原因出现可疑指令，应当立即停止网上支付业务并联系银行相关人员。异常情况消除后，方可继续支付业务，在问题未解决之前，应改为传统支付手段处理。</w:t>
      </w:r>
    </w:p>
    <w:p w14:paraId="09BA2BB1"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第七章 支出审批权限</w:t>
      </w:r>
    </w:p>
    <w:p w14:paraId="462AD81A"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第三十二条 </w:t>
      </w:r>
      <w:r w:rsidRPr="000C35FD">
        <w:rPr>
          <w:rFonts w:ascii="微软雅黑" w:eastAsia="微软雅黑" w:hAnsi="微软雅黑" w:cs="宋体" w:hint="eastAsia"/>
          <w:color w:val="333333"/>
          <w:kern w:val="0"/>
          <w:sz w:val="24"/>
          <w:szCs w:val="24"/>
          <w:bdr w:val="none" w:sz="0" w:space="0" w:color="auto" w:frame="1"/>
        </w:rPr>
        <w:t>支出审批实行分级负责、逐级审批、财务审核的程序。</w:t>
      </w:r>
    </w:p>
    <w:p w14:paraId="74B13D20"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第三十三条 </w:t>
      </w:r>
      <w:r w:rsidRPr="000C35FD">
        <w:rPr>
          <w:rFonts w:ascii="微软雅黑" w:eastAsia="微软雅黑" w:hAnsi="微软雅黑" w:cs="宋体" w:hint="eastAsia"/>
          <w:color w:val="333333"/>
          <w:kern w:val="0"/>
          <w:sz w:val="24"/>
          <w:szCs w:val="24"/>
          <w:bdr w:val="none" w:sz="0" w:space="0" w:color="auto" w:frame="1"/>
        </w:rPr>
        <w:t>经费支出需列明开支渠道，由经办人签名并按照经费归口管理关系及审批权限逐级办理审批及审核手续。</w:t>
      </w:r>
    </w:p>
    <w:p w14:paraId="4E82F31A"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第三十四条 </w:t>
      </w:r>
      <w:r w:rsidRPr="000C35FD">
        <w:rPr>
          <w:rFonts w:ascii="微软雅黑" w:eastAsia="微软雅黑" w:hAnsi="微软雅黑" w:cs="宋体" w:hint="eastAsia"/>
          <w:color w:val="333333"/>
          <w:kern w:val="0"/>
          <w:sz w:val="24"/>
          <w:szCs w:val="24"/>
          <w:bdr w:val="none" w:sz="0" w:space="0" w:color="auto" w:frame="1"/>
        </w:rPr>
        <w:t>基金会经费支出，在理事长的领导下，实行授权审批与财务审核相结合的管理制度。根据经费支出的性质和金额大写，具体规定如下：</w:t>
      </w:r>
    </w:p>
    <w:p w14:paraId="10B51DAA" w14:textId="77777777" w:rsidR="000C35FD" w:rsidRPr="000C35FD" w:rsidRDefault="000C35FD" w:rsidP="000C35FD">
      <w:pPr>
        <w:widowControl/>
        <w:spacing w:line="450" w:lineRule="atLeast"/>
        <w:ind w:left="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1、授权审批权限</w:t>
      </w:r>
    </w:p>
    <w:tbl>
      <w:tblPr>
        <w:tblW w:w="13470" w:type="dxa"/>
        <w:tblCellMar>
          <w:left w:w="0" w:type="dxa"/>
          <w:right w:w="0" w:type="dxa"/>
        </w:tblCellMar>
        <w:tblLook w:val="04A0" w:firstRow="1" w:lastRow="0" w:firstColumn="1" w:lastColumn="0" w:noHBand="0" w:noVBand="1"/>
      </w:tblPr>
      <w:tblGrid>
        <w:gridCol w:w="3618"/>
        <w:gridCol w:w="1121"/>
        <w:gridCol w:w="3665"/>
        <w:gridCol w:w="2638"/>
        <w:gridCol w:w="2428"/>
      </w:tblGrid>
      <w:tr w:rsidR="000C35FD" w:rsidRPr="000C35FD" w14:paraId="734C4A6B" w14:textId="77777777" w:rsidTr="000C35FD">
        <w:trPr>
          <w:trHeight w:val="270"/>
        </w:trPr>
        <w:tc>
          <w:tcPr>
            <w:tcW w:w="2325" w:type="dxa"/>
            <w:vMerge w:val="restart"/>
            <w:tcBorders>
              <w:top w:val="nil"/>
              <w:left w:val="nil"/>
              <w:bottom w:val="nil"/>
              <w:right w:val="nil"/>
            </w:tcBorders>
            <w:noWrap/>
            <w:tcMar>
              <w:top w:w="0" w:type="dxa"/>
              <w:left w:w="105" w:type="dxa"/>
              <w:bottom w:w="0" w:type="dxa"/>
              <w:right w:w="105" w:type="dxa"/>
            </w:tcMar>
            <w:vAlign w:val="center"/>
            <w:hideMark/>
          </w:tcPr>
          <w:p w14:paraId="0F3FC7D8"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lastRenderedPageBreak/>
              <w:t>分类</w:t>
            </w:r>
          </w:p>
        </w:tc>
        <w:tc>
          <w:tcPr>
            <w:tcW w:w="3075" w:type="dxa"/>
            <w:gridSpan w:val="2"/>
            <w:tcBorders>
              <w:top w:val="nil"/>
              <w:left w:val="nil"/>
              <w:bottom w:val="nil"/>
              <w:right w:val="nil"/>
            </w:tcBorders>
            <w:shd w:val="clear" w:color="auto" w:fill="FFFFFF"/>
            <w:noWrap/>
            <w:tcMar>
              <w:top w:w="0" w:type="dxa"/>
              <w:left w:w="105" w:type="dxa"/>
              <w:bottom w:w="0" w:type="dxa"/>
              <w:right w:w="105" w:type="dxa"/>
            </w:tcMar>
            <w:vAlign w:val="center"/>
            <w:hideMark/>
          </w:tcPr>
          <w:p w14:paraId="1CE26F14"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指定用款</w:t>
            </w:r>
          </w:p>
        </w:tc>
        <w:tc>
          <w:tcPr>
            <w:tcW w:w="3255" w:type="dxa"/>
            <w:gridSpan w:val="2"/>
            <w:tcBorders>
              <w:top w:val="nil"/>
              <w:left w:val="nil"/>
              <w:bottom w:val="nil"/>
              <w:right w:val="nil"/>
            </w:tcBorders>
            <w:shd w:val="clear" w:color="auto" w:fill="FFFFFF"/>
            <w:noWrap/>
            <w:tcMar>
              <w:top w:w="0" w:type="dxa"/>
              <w:left w:w="105" w:type="dxa"/>
              <w:bottom w:w="0" w:type="dxa"/>
              <w:right w:w="105" w:type="dxa"/>
            </w:tcMar>
            <w:vAlign w:val="center"/>
            <w:hideMark/>
          </w:tcPr>
          <w:p w14:paraId="35CC224A"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非指定用款</w:t>
            </w:r>
          </w:p>
        </w:tc>
      </w:tr>
      <w:tr w:rsidR="000C35FD" w:rsidRPr="000C35FD" w14:paraId="4A08526F" w14:textId="77777777" w:rsidTr="000C35FD">
        <w:trPr>
          <w:trHeight w:val="255"/>
        </w:trPr>
        <w:tc>
          <w:tcPr>
            <w:tcW w:w="0" w:type="auto"/>
            <w:vMerge/>
            <w:tcBorders>
              <w:top w:val="nil"/>
              <w:left w:val="nil"/>
              <w:bottom w:val="nil"/>
              <w:right w:val="nil"/>
            </w:tcBorders>
            <w:vAlign w:val="center"/>
            <w:hideMark/>
          </w:tcPr>
          <w:p w14:paraId="50CFED65" w14:textId="77777777" w:rsidR="000C35FD" w:rsidRPr="000C35FD" w:rsidRDefault="000C35FD" w:rsidP="000C35FD">
            <w:pPr>
              <w:widowControl/>
              <w:jc w:val="left"/>
              <w:rPr>
                <w:rFonts w:ascii="宋体" w:eastAsia="宋体" w:hAnsi="宋体" w:cs="宋体"/>
                <w:kern w:val="0"/>
                <w:sz w:val="24"/>
                <w:szCs w:val="24"/>
              </w:rPr>
            </w:pPr>
          </w:p>
        </w:tc>
        <w:tc>
          <w:tcPr>
            <w:tcW w:w="720" w:type="dxa"/>
            <w:tcBorders>
              <w:top w:val="nil"/>
              <w:left w:val="nil"/>
              <w:bottom w:val="nil"/>
              <w:right w:val="nil"/>
            </w:tcBorders>
            <w:noWrap/>
            <w:tcMar>
              <w:top w:w="0" w:type="dxa"/>
              <w:left w:w="105" w:type="dxa"/>
              <w:bottom w:w="0" w:type="dxa"/>
              <w:right w:w="105" w:type="dxa"/>
            </w:tcMar>
            <w:vAlign w:val="center"/>
            <w:hideMark/>
          </w:tcPr>
          <w:p w14:paraId="53D325B7"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校级</w:t>
            </w:r>
          </w:p>
        </w:tc>
        <w:tc>
          <w:tcPr>
            <w:tcW w:w="2355" w:type="dxa"/>
            <w:tcBorders>
              <w:top w:val="nil"/>
              <w:left w:val="nil"/>
              <w:bottom w:val="nil"/>
              <w:right w:val="nil"/>
            </w:tcBorders>
            <w:noWrap/>
            <w:tcMar>
              <w:top w:w="0" w:type="dxa"/>
              <w:left w:w="105" w:type="dxa"/>
              <w:bottom w:w="0" w:type="dxa"/>
              <w:right w:w="105" w:type="dxa"/>
            </w:tcMar>
            <w:vAlign w:val="center"/>
            <w:hideMark/>
          </w:tcPr>
          <w:p w14:paraId="665AB824"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二级学院（部门）</w:t>
            </w:r>
          </w:p>
        </w:tc>
        <w:tc>
          <w:tcPr>
            <w:tcW w:w="1695" w:type="dxa"/>
            <w:tcBorders>
              <w:top w:val="nil"/>
              <w:left w:val="nil"/>
              <w:bottom w:val="nil"/>
              <w:right w:val="nil"/>
            </w:tcBorders>
            <w:tcMar>
              <w:top w:w="0" w:type="dxa"/>
              <w:left w:w="105" w:type="dxa"/>
              <w:bottom w:w="0" w:type="dxa"/>
              <w:right w:w="105" w:type="dxa"/>
            </w:tcMar>
            <w:vAlign w:val="center"/>
            <w:hideMark/>
          </w:tcPr>
          <w:p w14:paraId="4157350A"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对个人支出</w:t>
            </w:r>
          </w:p>
        </w:tc>
        <w:tc>
          <w:tcPr>
            <w:tcW w:w="1560" w:type="dxa"/>
            <w:tcBorders>
              <w:top w:val="nil"/>
              <w:left w:val="nil"/>
              <w:bottom w:val="nil"/>
              <w:right w:val="nil"/>
            </w:tcBorders>
            <w:noWrap/>
            <w:tcMar>
              <w:top w:w="0" w:type="dxa"/>
              <w:left w:w="105" w:type="dxa"/>
              <w:bottom w:w="0" w:type="dxa"/>
              <w:right w:w="105" w:type="dxa"/>
            </w:tcMar>
            <w:vAlign w:val="center"/>
            <w:hideMark/>
          </w:tcPr>
          <w:p w14:paraId="499A930E"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对公支出</w:t>
            </w:r>
          </w:p>
        </w:tc>
      </w:tr>
      <w:tr w:rsidR="000C35FD" w:rsidRPr="000C35FD" w14:paraId="2FBA50F2" w14:textId="77777777" w:rsidTr="000C35FD">
        <w:trPr>
          <w:trHeight w:val="390"/>
        </w:trPr>
        <w:tc>
          <w:tcPr>
            <w:tcW w:w="2325" w:type="dxa"/>
            <w:tcBorders>
              <w:top w:val="nil"/>
              <w:left w:val="nil"/>
              <w:bottom w:val="nil"/>
              <w:right w:val="nil"/>
            </w:tcBorders>
            <w:noWrap/>
            <w:tcMar>
              <w:top w:w="0" w:type="dxa"/>
              <w:left w:w="105" w:type="dxa"/>
              <w:bottom w:w="0" w:type="dxa"/>
              <w:right w:w="105" w:type="dxa"/>
            </w:tcMar>
            <w:vAlign w:val="center"/>
            <w:hideMark/>
          </w:tcPr>
          <w:p w14:paraId="3C4F37B4"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基金项目负责人</w:t>
            </w:r>
          </w:p>
        </w:tc>
        <w:tc>
          <w:tcPr>
            <w:tcW w:w="720" w:type="dxa"/>
            <w:tcBorders>
              <w:top w:val="nil"/>
              <w:left w:val="nil"/>
              <w:bottom w:val="nil"/>
              <w:right w:val="nil"/>
            </w:tcBorders>
            <w:noWrap/>
            <w:tcMar>
              <w:top w:w="0" w:type="dxa"/>
              <w:left w:w="105" w:type="dxa"/>
              <w:bottom w:w="0" w:type="dxa"/>
              <w:right w:w="105" w:type="dxa"/>
            </w:tcMar>
            <w:vAlign w:val="center"/>
            <w:hideMark/>
          </w:tcPr>
          <w:p w14:paraId="4618C3E4"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c>
          <w:tcPr>
            <w:tcW w:w="2355" w:type="dxa"/>
            <w:tcBorders>
              <w:top w:val="nil"/>
              <w:left w:val="nil"/>
              <w:bottom w:val="nil"/>
              <w:right w:val="nil"/>
            </w:tcBorders>
            <w:noWrap/>
            <w:tcMar>
              <w:top w:w="0" w:type="dxa"/>
              <w:left w:w="105" w:type="dxa"/>
              <w:bottom w:w="0" w:type="dxa"/>
              <w:right w:w="105" w:type="dxa"/>
            </w:tcMar>
            <w:vAlign w:val="center"/>
            <w:hideMark/>
          </w:tcPr>
          <w:p w14:paraId="3F1FD0F4"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&lt;=1万元</w:t>
            </w:r>
          </w:p>
        </w:tc>
        <w:tc>
          <w:tcPr>
            <w:tcW w:w="1695" w:type="dxa"/>
            <w:tcBorders>
              <w:top w:val="nil"/>
              <w:left w:val="nil"/>
              <w:bottom w:val="nil"/>
              <w:right w:val="nil"/>
            </w:tcBorders>
            <w:noWrap/>
            <w:tcMar>
              <w:top w:w="0" w:type="dxa"/>
              <w:left w:w="105" w:type="dxa"/>
              <w:bottom w:w="0" w:type="dxa"/>
              <w:right w:w="105" w:type="dxa"/>
            </w:tcMar>
            <w:vAlign w:val="center"/>
            <w:hideMark/>
          </w:tcPr>
          <w:p w14:paraId="429FF349"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c>
          <w:tcPr>
            <w:tcW w:w="1560" w:type="dxa"/>
            <w:tcBorders>
              <w:top w:val="nil"/>
              <w:left w:val="nil"/>
              <w:bottom w:val="nil"/>
              <w:right w:val="nil"/>
            </w:tcBorders>
            <w:noWrap/>
            <w:tcMar>
              <w:top w:w="0" w:type="dxa"/>
              <w:left w:w="105" w:type="dxa"/>
              <w:bottom w:w="0" w:type="dxa"/>
              <w:right w:w="105" w:type="dxa"/>
            </w:tcMar>
            <w:vAlign w:val="center"/>
            <w:hideMark/>
          </w:tcPr>
          <w:p w14:paraId="0D451EC6"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r>
      <w:tr w:rsidR="000C35FD" w:rsidRPr="000C35FD" w14:paraId="0378BAF9" w14:textId="77777777" w:rsidTr="000C35FD">
        <w:trPr>
          <w:trHeight w:val="390"/>
        </w:trPr>
        <w:tc>
          <w:tcPr>
            <w:tcW w:w="2325" w:type="dxa"/>
            <w:tcBorders>
              <w:top w:val="nil"/>
              <w:left w:val="nil"/>
              <w:bottom w:val="nil"/>
              <w:right w:val="nil"/>
            </w:tcBorders>
            <w:noWrap/>
            <w:tcMar>
              <w:top w:w="0" w:type="dxa"/>
              <w:left w:w="105" w:type="dxa"/>
              <w:bottom w:w="0" w:type="dxa"/>
              <w:right w:w="105" w:type="dxa"/>
            </w:tcMar>
            <w:vAlign w:val="center"/>
            <w:hideMark/>
          </w:tcPr>
          <w:p w14:paraId="19C0248A"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秘书长</w:t>
            </w:r>
          </w:p>
        </w:tc>
        <w:tc>
          <w:tcPr>
            <w:tcW w:w="720" w:type="dxa"/>
            <w:tcBorders>
              <w:top w:val="nil"/>
              <w:left w:val="nil"/>
              <w:bottom w:val="nil"/>
              <w:right w:val="nil"/>
            </w:tcBorders>
            <w:noWrap/>
            <w:tcMar>
              <w:top w:w="0" w:type="dxa"/>
              <w:left w:w="105" w:type="dxa"/>
              <w:bottom w:w="0" w:type="dxa"/>
              <w:right w:w="105" w:type="dxa"/>
            </w:tcMar>
            <w:vAlign w:val="center"/>
            <w:hideMark/>
          </w:tcPr>
          <w:p w14:paraId="7B4686B0"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c>
          <w:tcPr>
            <w:tcW w:w="2355" w:type="dxa"/>
            <w:tcBorders>
              <w:top w:val="nil"/>
              <w:left w:val="nil"/>
              <w:bottom w:val="nil"/>
              <w:right w:val="nil"/>
            </w:tcBorders>
            <w:noWrap/>
            <w:tcMar>
              <w:top w:w="0" w:type="dxa"/>
              <w:left w:w="105" w:type="dxa"/>
              <w:bottom w:w="0" w:type="dxa"/>
              <w:right w:w="105" w:type="dxa"/>
            </w:tcMar>
            <w:vAlign w:val="center"/>
            <w:hideMark/>
          </w:tcPr>
          <w:p w14:paraId="5BAA15DB"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&gt;1万元</w:t>
            </w:r>
          </w:p>
        </w:tc>
        <w:tc>
          <w:tcPr>
            <w:tcW w:w="1695" w:type="dxa"/>
            <w:tcBorders>
              <w:top w:val="nil"/>
              <w:left w:val="nil"/>
              <w:bottom w:val="nil"/>
              <w:right w:val="nil"/>
            </w:tcBorders>
            <w:noWrap/>
            <w:tcMar>
              <w:top w:w="0" w:type="dxa"/>
              <w:left w:w="105" w:type="dxa"/>
              <w:bottom w:w="0" w:type="dxa"/>
              <w:right w:w="105" w:type="dxa"/>
            </w:tcMar>
            <w:vAlign w:val="center"/>
            <w:hideMark/>
          </w:tcPr>
          <w:p w14:paraId="27155F95"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&lt;=1万元</w:t>
            </w:r>
          </w:p>
        </w:tc>
        <w:tc>
          <w:tcPr>
            <w:tcW w:w="1560" w:type="dxa"/>
            <w:tcBorders>
              <w:top w:val="nil"/>
              <w:left w:val="nil"/>
              <w:bottom w:val="nil"/>
              <w:right w:val="nil"/>
            </w:tcBorders>
            <w:noWrap/>
            <w:tcMar>
              <w:top w:w="0" w:type="dxa"/>
              <w:left w:w="105" w:type="dxa"/>
              <w:bottom w:w="0" w:type="dxa"/>
              <w:right w:w="105" w:type="dxa"/>
            </w:tcMar>
            <w:vAlign w:val="center"/>
            <w:hideMark/>
          </w:tcPr>
          <w:p w14:paraId="7A00959E"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&lt;=5万元</w:t>
            </w:r>
          </w:p>
        </w:tc>
      </w:tr>
      <w:tr w:rsidR="000C35FD" w:rsidRPr="000C35FD" w14:paraId="09A7EFBA" w14:textId="77777777" w:rsidTr="000C35FD">
        <w:trPr>
          <w:trHeight w:val="390"/>
        </w:trPr>
        <w:tc>
          <w:tcPr>
            <w:tcW w:w="2325" w:type="dxa"/>
            <w:tcBorders>
              <w:top w:val="nil"/>
              <w:left w:val="nil"/>
              <w:bottom w:val="nil"/>
              <w:right w:val="nil"/>
            </w:tcBorders>
            <w:noWrap/>
            <w:tcMar>
              <w:top w:w="0" w:type="dxa"/>
              <w:left w:w="105" w:type="dxa"/>
              <w:bottom w:w="0" w:type="dxa"/>
              <w:right w:w="105" w:type="dxa"/>
            </w:tcMar>
            <w:vAlign w:val="center"/>
            <w:hideMark/>
          </w:tcPr>
          <w:p w14:paraId="49A99D93"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副理事长</w:t>
            </w:r>
          </w:p>
        </w:tc>
        <w:tc>
          <w:tcPr>
            <w:tcW w:w="720" w:type="dxa"/>
            <w:tcBorders>
              <w:top w:val="nil"/>
              <w:left w:val="nil"/>
              <w:bottom w:val="nil"/>
              <w:right w:val="nil"/>
            </w:tcBorders>
            <w:noWrap/>
            <w:tcMar>
              <w:top w:w="0" w:type="dxa"/>
              <w:left w:w="105" w:type="dxa"/>
              <w:bottom w:w="0" w:type="dxa"/>
              <w:right w:w="105" w:type="dxa"/>
            </w:tcMar>
            <w:vAlign w:val="center"/>
            <w:hideMark/>
          </w:tcPr>
          <w:p w14:paraId="0B0EF64F"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c>
          <w:tcPr>
            <w:tcW w:w="2355" w:type="dxa"/>
            <w:tcBorders>
              <w:top w:val="nil"/>
              <w:left w:val="nil"/>
              <w:bottom w:val="nil"/>
              <w:right w:val="nil"/>
            </w:tcBorders>
            <w:noWrap/>
            <w:tcMar>
              <w:top w:w="0" w:type="dxa"/>
              <w:left w:w="105" w:type="dxa"/>
              <w:bottom w:w="0" w:type="dxa"/>
              <w:right w:w="105" w:type="dxa"/>
            </w:tcMar>
            <w:vAlign w:val="center"/>
            <w:hideMark/>
          </w:tcPr>
          <w:p w14:paraId="580BE95F"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c>
          <w:tcPr>
            <w:tcW w:w="1695" w:type="dxa"/>
            <w:tcBorders>
              <w:top w:val="nil"/>
              <w:left w:val="nil"/>
              <w:bottom w:val="nil"/>
              <w:right w:val="nil"/>
            </w:tcBorders>
            <w:noWrap/>
            <w:tcMar>
              <w:top w:w="0" w:type="dxa"/>
              <w:left w:w="105" w:type="dxa"/>
              <w:bottom w:w="0" w:type="dxa"/>
              <w:right w:w="105" w:type="dxa"/>
            </w:tcMar>
            <w:vAlign w:val="center"/>
            <w:hideMark/>
          </w:tcPr>
          <w:p w14:paraId="5C04D5F3"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&lt;=50万元</w:t>
            </w:r>
          </w:p>
        </w:tc>
        <w:tc>
          <w:tcPr>
            <w:tcW w:w="1560" w:type="dxa"/>
            <w:tcBorders>
              <w:top w:val="nil"/>
              <w:left w:val="nil"/>
              <w:bottom w:val="nil"/>
              <w:right w:val="nil"/>
            </w:tcBorders>
            <w:noWrap/>
            <w:tcMar>
              <w:top w:w="0" w:type="dxa"/>
              <w:left w:w="105" w:type="dxa"/>
              <w:bottom w:w="0" w:type="dxa"/>
              <w:right w:w="105" w:type="dxa"/>
            </w:tcMar>
            <w:vAlign w:val="center"/>
            <w:hideMark/>
          </w:tcPr>
          <w:p w14:paraId="4090AF75"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&lt;=50万元</w:t>
            </w:r>
          </w:p>
        </w:tc>
      </w:tr>
      <w:tr w:rsidR="000C35FD" w:rsidRPr="000C35FD" w14:paraId="1C353242" w14:textId="77777777" w:rsidTr="000C35FD">
        <w:trPr>
          <w:trHeight w:val="390"/>
        </w:trPr>
        <w:tc>
          <w:tcPr>
            <w:tcW w:w="2325" w:type="dxa"/>
            <w:tcBorders>
              <w:top w:val="nil"/>
              <w:left w:val="nil"/>
              <w:bottom w:val="nil"/>
              <w:right w:val="nil"/>
            </w:tcBorders>
            <w:noWrap/>
            <w:tcMar>
              <w:top w:w="0" w:type="dxa"/>
              <w:left w:w="105" w:type="dxa"/>
              <w:bottom w:w="0" w:type="dxa"/>
              <w:right w:w="105" w:type="dxa"/>
            </w:tcMar>
            <w:vAlign w:val="center"/>
            <w:hideMark/>
          </w:tcPr>
          <w:p w14:paraId="0AA46C58"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理事长</w:t>
            </w:r>
          </w:p>
        </w:tc>
        <w:tc>
          <w:tcPr>
            <w:tcW w:w="720" w:type="dxa"/>
            <w:tcBorders>
              <w:top w:val="nil"/>
              <w:left w:val="nil"/>
              <w:bottom w:val="nil"/>
              <w:right w:val="nil"/>
            </w:tcBorders>
            <w:noWrap/>
            <w:tcMar>
              <w:top w:w="0" w:type="dxa"/>
              <w:left w:w="105" w:type="dxa"/>
              <w:bottom w:w="0" w:type="dxa"/>
              <w:right w:w="105" w:type="dxa"/>
            </w:tcMar>
            <w:vAlign w:val="center"/>
            <w:hideMark/>
          </w:tcPr>
          <w:p w14:paraId="60DD212B"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c>
          <w:tcPr>
            <w:tcW w:w="2355" w:type="dxa"/>
            <w:tcBorders>
              <w:top w:val="nil"/>
              <w:left w:val="nil"/>
              <w:bottom w:val="nil"/>
              <w:right w:val="nil"/>
            </w:tcBorders>
            <w:noWrap/>
            <w:tcMar>
              <w:top w:w="0" w:type="dxa"/>
              <w:left w:w="105" w:type="dxa"/>
              <w:bottom w:w="0" w:type="dxa"/>
              <w:right w:w="105" w:type="dxa"/>
            </w:tcMar>
            <w:vAlign w:val="center"/>
            <w:hideMark/>
          </w:tcPr>
          <w:p w14:paraId="1E4E471D"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w:t>
            </w:r>
          </w:p>
        </w:tc>
        <w:tc>
          <w:tcPr>
            <w:tcW w:w="1695" w:type="dxa"/>
            <w:tcBorders>
              <w:top w:val="nil"/>
              <w:left w:val="nil"/>
              <w:bottom w:val="nil"/>
              <w:right w:val="nil"/>
            </w:tcBorders>
            <w:noWrap/>
            <w:tcMar>
              <w:top w:w="0" w:type="dxa"/>
              <w:left w:w="105" w:type="dxa"/>
              <w:bottom w:w="0" w:type="dxa"/>
              <w:right w:w="105" w:type="dxa"/>
            </w:tcMar>
            <w:vAlign w:val="center"/>
            <w:hideMark/>
          </w:tcPr>
          <w:p w14:paraId="3C0AEADE"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&gt;50万元</w:t>
            </w:r>
          </w:p>
        </w:tc>
        <w:tc>
          <w:tcPr>
            <w:tcW w:w="1560" w:type="dxa"/>
            <w:tcBorders>
              <w:top w:val="nil"/>
              <w:left w:val="nil"/>
              <w:bottom w:val="nil"/>
              <w:right w:val="nil"/>
            </w:tcBorders>
            <w:noWrap/>
            <w:tcMar>
              <w:top w:w="0" w:type="dxa"/>
              <w:left w:w="105" w:type="dxa"/>
              <w:bottom w:w="0" w:type="dxa"/>
              <w:right w:w="105" w:type="dxa"/>
            </w:tcMar>
            <w:vAlign w:val="center"/>
            <w:hideMark/>
          </w:tcPr>
          <w:p w14:paraId="09E11D7E"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&gt;50万元</w:t>
            </w:r>
          </w:p>
        </w:tc>
      </w:tr>
    </w:tbl>
    <w:p w14:paraId="3FD5CC64" w14:textId="77777777" w:rsidR="000C35FD" w:rsidRPr="000C35FD" w:rsidRDefault="000C35FD" w:rsidP="000C35FD">
      <w:pPr>
        <w:widowControl/>
        <w:spacing w:line="450" w:lineRule="atLeast"/>
        <w:ind w:firstLine="420"/>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备注：对个人支出指发放给个人的劳务（奖励）以及差旅费、参加会议（培训）费、出国（境）费等公务消费性支出；对公支出指除个人支出外的其他支出。</w:t>
      </w:r>
    </w:p>
    <w:p w14:paraId="080EFDEF" w14:textId="77777777" w:rsidR="000C35FD" w:rsidRPr="000C35FD" w:rsidRDefault="000C35FD" w:rsidP="000C35FD">
      <w:pPr>
        <w:widowControl/>
        <w:spacing w:line="450" w:lineRule="atLeast"/>
        <w:ind w:left="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2、财务审核权限</w:t>
      </w:r>
    </w:p>
    <w:tbl>
      <w:tblPr>
        <w:tblW w:w="13470" w:type="dxa"/>
        <w:tblCellMar>
          <w:left w:w="0" w:type="dxa"/>
          <w:right w:w="0" w:type="dxa"/>
        </w:tblCellMar>
        <w:tblLook w:val="04A0" w:firstRow="1" w:lastRow="0" w:firstColumn="1" w:lastColumn="0" w:noHBand="0" w:noVBand="1"/>
      </w:tblPr>
      <w:tblGrid>
        <w:gridCol w:w="5405"/>
        <w:gridCol w:w="3161"/>
        <w:gridCol w:w="4904"/>
      </w:tblGrid>
      <w:tr w:rsidR="000C35FD" w:rsidRPr="000C35FD" w14:paraId="2B7B65BD" w14:textId="77777777" w:rsidTr="000C35FD">
        <w:trPr>
          <w:trHeight w:val="315"/>
        </w:trPr>
        <w:tc>
          <w:tcPr>
            <w:tcW w:w="2745" w:type="dxa"/>
            <w:tcBorders>
              <w:top w:val="nil"/>
              <w:left w:val="nil"/>
              <w:bottom w:val="nil"/>
              <w:right w:val="nil"/>
            </w:tcBorders>
            <w:noWrap/>
            <w:tcMar>
              <w:top w:w="0" w:type="dxa"/>
              <w:left w:w="105" w:type="dxa"/>
              <w:bottom w:w="0" w:type="dxa"/>
              <w:right w:w="105" w:type="dxa"/>
            </w:tcMar>
            <w:vAlign w:val="center"/>
            <w:hideMark/>
          </w:tcPr>
          <w:p w14:paraId="423078FD"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分类</w:t>
            </w:r>
          </w:p>
        </w:tc>
        <w:tc>
          <w:tcPr>
            <w:tcW w:w="1605" w:type="dxa"/>
            <w:tcBorders>
              <w:top w:val="nil"/>
              <w:left w:val="nil"/>
              <w:bottom w:val="nil"/>
              <w:right w:val="nil"/>
            </w:tcBorders>
            <w:tcMar>
              <w:top w:w="0" w:type="dxa"/>
              <w:left w:w="105" w:type="dxa"/>
              <w:bottom w:w="0" w:type="dxa"/>
              <w:right w:w="105" w:type="dxa"/>
            </w:tcMar>
            <w:vAlign w:val="center"/>
            <w:hideMark/>
          </w:tcPr>
          <w:p w14:paraId="589E6078"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对个人支出</w:t>
            </w:r>
          </w:p>
        </w:tc>
        <w:tc>
          <w:tcPr>
            <w:tcW w:w="2490" w:type="dxa"/>
            <w:tcBorders>
              <w:top w:val="nil"/>
              <w:left w:val="nil"/>
              <w:bottom w:val="nil"/>
              <w:right w:val="nil"/>
            </w:tcBorders>
            <w:noWrap/>
            <w:tcMar>
              <w:top w:w="0" w:type="dxa"/>
              <w:left w:w="105" w:type="dxa"/>
              <w:bottom w:w="0" w:type="dxa"/>
              <w:right w:w="105" w:type="dxa"/>
            </w:tcMar>
            <w:vAlign w:val="center"/>
            <w:hideMark/>
          </w:tcPr>
          <w:p w14:paraId="4EE7BE46" w14:textId="77777777" w:rsidR="000C35FD" w:rsidRPr="000C35FD" w:rsidRDefault="000C35FD" w:rsidP="000C35FD">
            <w:pPr>
              <w:widowControl/>
              <w:jc w:val="center"/>
              <w:rPr>
                <w:rFonts w:ascii="宋体" w:eastAsia="宋体" w:hAnsi="宋体" w:cs="宋体"/>
                <w:kern w:val="0"/>
                <w:sz w:val="24"/>
                <w:szCs w:val="24"/>
              </w:rPr>
            </w:pPr>
            <w:r w:rsidRPr="000C35FD">
              <w:rPr>
                <w:rFonts w:ascii="宋体" w:eastAsia="宋体" w:hAnsi="宋体" w:cs="宋体"/>
                <w:kern w:val="0"/>
                <w:sz w:val="24"/>
                <w:szCs w:val="24"/>
              </w:rPr>
              <w:t>对公支出</w:t>
            </w:r>
          </w:p>
        </w:tc>
      </w:tr>
      <w:tr w:rsidR="000C35FD" w:rsidRPr="000C35FD" w14:paraId="72B147B9" w14:textId="77777777" w:rsidTr="000C35FD">
        <w:trPr>
          <w:trHeight w:val="315"/>
        </w:trPr>
        <w:tc>
          <w:tcPr>
            <w:tcW w:w="2745" w:type="dxa"/>
            <w:tcBorders>
              <w:top w:val="nil"/>
              <w:left w:val="nil"/>
              <w:bottom w:val="nil"/>
              <w:right w:val="nil"/>
            </w:tcBorders>
            <w:noWrap/>
            <w:tcMar>
              <w:top w:w="0" w:type="dxa"/>
              <w:left w:w="105" w:type="dxa"/>
              <w:bottom w:w="0" w:type="dxa"/>
              <w:right w:w="105" w:type="dxa"/>
            </w:tcMar>
            <w:vAlign w:val="center"/>
            <w:hideMark/>
          </w:tcPr>
          <w:p w14:paraId="37FAC320"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财务机构负责人</w:t>
            </w:r>
          </w:p>
        </w:tc>
        <w:tc>
          <w:tcPr>
            <w:tcW w:w="1605" w:type="dxa"/>
            <w:tcBorders>
              <w:top w:val="nil"/>
              <w:left w:val="nil"/>
              <w:bottom w:val="nil"/>
              <w:right w:val="nil"/>
            </w:tcBorders>
            <w:noWrap/>
            <w:tcMar>
              <w:top w:w="0" w:type="dxa"/>
              <w:left w:w="105" w:type="dxa"/>
              <w:bottom w:w="0" w:type="dxa"/>
              <w:right w:w="105" w:type="dxa"/>
            </w:tcMar>
            <w:vAlign w:val="center"/>
            <w:hideMark/>
          </w:tcPr>
          <w:p w14:paraId="2A1C76B2"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&lt;=5仟元</w:t>
            </w:r>
          </w:p>
        </w:tc>
        <w:tc>
          <w:tcPr>
            <w:tcW w:w="2490" w:type="dxa"/>
            <w:tcBorders>
              <w:top w:val="nil"/>
              <w:left w:val="nil"/>
              <w:bottom w:val="nil"/>
              <w:right w:val="nil"/>
            </w:tcBorders>
            <w:noWrap/>
            <w:tcMar>
              <w:top w:w="0" w:type="dxa"/>
              <w:left w:w="105" w:type="dxa"/>
              <w:bottom w:w="0" w:type="dxa"/>
              <w:right w:w="105" w:type="dxa"/>
            </w:tcMar>
            <w:vAlign w:val="center"/>
            <w:hideMark/>
          </w:tcPr>
          <w:p w14:paraId="21025CDD"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&lt;=5万元</w:t>
            </w:r>
          </w:p>
        </w:tc>
      </w:tr>
      <w:tr w:rsidR="000C35FD" w:rsidRPr="000C35FD" w14:paraId="54977E03" w14:textId="77777777" w:rsidTr="000C35FD">
        <w:trPr>
          <w:trHeight w:val="315"/>
        </w:trPr>
        <w:tc>
          <w:tcPr>
            <w:tcW w:w="2745" w:type="dxa"/>
            <w:tcBorders>
              <w:top w:val="nil"/>
              <w:left w:val="nil"/>
              <w:bottom w:val="nil"/>
              <w:right w:val="nil"/>
            </w:tcBorders>
            <w:noWrap/>
            <w:tcMar>
              <w:top w:w="0" w:type="dxa"/>
              <w:left w:w="105" w:type="dxa"/>
              <w:bottom w:w="0" w:type="dxa"/>
              <w:right w:w="105" w:type="dxa"/>
            </w:tcMar>
            <w:vAlign w:val="center"/>
            <w:hideMark/>
          </w:tcPr>
          <w:p w14:paraId="16198250"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分管财务领导</w:t>
            </w:r>
          </w:p>
        </w:tc>
        <w:tc>
          <w:tcPr>
            <w:tcW w:w="1605" w:type="dxa"/>
            <w:tcBorders>
              <w:top w:val="nil"/>
              <w:left w:val="nil"/>
              <w:bottom w:val="nil"/>
              <w:right w:val="nil"/>
            </w:tcBorders>
            <w:noWrap/>
            <w:tcMar>
              <w:top w:w="0" w:type="dxa"/>
              <w:left w:w="105" w:type="dxa"/>
              <w:bottom w:w="0" w:type="dxa"/>
              <w:right w:w="105" w:type="dxa"/>
            </w:tcMar>
            <w:vAlign w:val="center"/>
            <w:hideMark/>
          </w:tcPr>
          <w:p w14:paraId="6BA90583"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&gt;5仟元</w:t>
            </w:r>
          </w:p>
        </w:tc>
        <w:tc>
          <w:tcPr>
            <w:tcW w:w="2490" w:type="dxa"/>
            <w:tcBorders>
              <w:top w:val="nil"/>
              <w:left w:val="nil"/>
              <w:bottom w:val="nil"/>
              <w:right w:val="nil"/>
            </w:tcBorders>
            <w:noWrap/>
            <w:tcMar>
              <w:top w:w="0" w:type="dxa"/>
              <w:left w:w="105" w:type="dxa"/>
              <w:bottom w:w="0" w:type="dxa"/>
              <w:right w:w="105" w:type="dxa"/>
            </w:tcMar>
            <w:vAlign w:val="center"/>
            <w:hideMark/>
          </w:tcPr>
          <w:p w14:paraId="4E45533F" w14:textId="77777777" w:rsidR="000C35FD" w:rsidRPr="000C35FD" w:rsidRDefault="000C35FD" w:rsidP="000C35FD">
            <w:pPr>
              <w:widowControl/>
              <w:jc w:val="left"/>
              <w:rPr>
                <w:rFonts w:ascii="宋体" w:eastAsia="宋体" w:hAnsi="宋体" w:cs="宋体"/>
                <w:kern w:val="0"/>
                <w:sz w:val="24"/>
                <w:szCs w:val="24"/>
              </w:rPr>
            </w:pPr>
            <w:r w:rsidRPr="000C35FD">
              <w:rPr>
                <w:rFonts w:ascii="宋体" w:eastAsia="宋体" w:hAnsi="宋体" w:cs="宋体"/>
                <w:kern w:val="0"/>
                <w:sz w:val="24"/>
                <w:szCs w:val="24"/>
              </w:rPr>
              <w:t>&gt;5万元</w:t>
            </w:r>
          </w:p>
        </w:tc>
      </w:tr>
    </w:tbl>
    <w:p w14:paraId="52CA2908" w14:textId="77777777" w:rsidR="000C35FD" w:rsidRPr="000C35FD" w:rsidRDefault="000C35FD" w:rsidP="000C35FD">
      <w:pPr>
        <w:widowControl/>
        <w:spacing w:line="450" w:lineRule="atLeast"/>
        <w:ind w:left="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 </w:t>
      </w:r>
    </w:p>
    <w:p w14:paraId="3094FFFC"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第三十五条 </w:t>
      </w:r>
      <w:r w:rsidRPr="000C35FD">
        <w:rPr>
          <w:rFonts w:ascii="微软雅黑" w:eastAsia="微软雅黑" w:hAnsi="微软雅黑" w:cs="宋体" w:hint="eastAsia"/>
          <w:color w:val="333333"/>
          <w:kern w:val="0"/>
          <w:sz w:val="24"/>
          <w:szCs w:val="24"/>
          <w:bdr w:val="none" w:sz="0" w:space="0" w:color="auto" w:frame="1"/>
        </w:rPr>
        <w:t>审批人按规定的权限审批支出，并对审批事项承担审批责任。因越权审批造成学院利益损失的，承担相应责任。</w:t>
      </w:r>
    </w:p>
    <w:p w14:paraId="5F2D257C"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第三十六条 </w:t>
      </w:r>
      <w:r w:rsidRPr="000C35FD">
        <w:rPr>
          <w:rFonts w:ascii="微软雅黑" w:eastAsia="微软雅黑" w:hAnsi="微软雅黑" w:cs="宋体" w:hint="eastAsia"/>
          <w:color w:val="333333"/>
          <w:kern w:val="0"/>
          <w:sz w:val="24"/>
          <w:szCs w:val="24"/>
          <w:bdr w:val="none" w:sz="0" w:space="0" w:color="auto" w:frame="1"/>
        </w:rPr>
        <w:t>财务部门要对经费的审批程序及报销凭证的完整性进行严格审核把关，凡不符合程序及要求的报销凭证应予以退回。</w:t>
      </w:r>
    </w:p>
    <w:p w14:paraId="6203F610"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第八章 会计档案管理</w:t>
      </w:r>
    </w:p>
    <w:p w14:paraId="4D03B2DB"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第三十七条 </w:t>
      </w:r>
      <w:r w:rsidRPr="000C35FD">
        <w:rPr>
          <w:rFonts w:ascii="微软雅黑" w:eastAsia="微软雅黑" w:hAnsi="微软雅黑" w:cs="宋体" w:hint="eastAsia"/>
          <w:color w:val="333333"/>
          <w:kern w:val="0"/>
          <w:sz w:val="24"/>
          <w:szCs w:val="24"/>
          <w:bdr w:val="none" w:sz="0" w:space="0" w:color="auto" w:frame="1"/>
        </w:rPr>
        <w:t>会计档案是指单位在进行会计核算等过程中接收或形成的,记录和反映单位经济业务事项的,具有保存价值的文字、图表等各种形式的会计资料,包括通过计算机等电子设备形成、传输和存储的电子会计档案。基金会须按照《会计档案管理办法》（财政部、国家</w:t>
      </w:r>
      <w:proofErr w:type="gramStart"/>
      <w:r w:rsidRPr="000C35FD">
        <w:rPr>
          <w:rFonts w:ascii="微软雅黑" w:eastAsia="微软雅黑" w:hAnsi="微软雅黑" w:cs="宋体" w:hint="eastAsia"/>
          <w:color w:val="333333"/>
          <w:kern w:val="0"/>
          <w:sz w:val="24"/>
          <w:szCs w:val="24"/>
          <w:bdr w:val="none" w:sz="0" w:space="0" w:color="auto" w:frame="1"/>
        </w:rPr>
        <w:t>档案局令第79号</w:t>
      </w:r>
      <w:proofErr w:type="gramEnd"/>
      <w:r w:rsidRPr="000C35FD">
        <w:rPr>
          <w:rFonts w:ascii="微软雅黑" w:eastAsia="微软雅黑" w:hAnsi="微软雅黑" w:cs="宋体" w:hint="eastAsia"/>
          <w:color w:val="333333"/>
          <w:kern w:val="0"/>
          <w:sz w:val="24"/>
          <w:szCs w:val="24"/>
          <w:bdr w:val="none" w:sz="0" w:space="0" w:color="auto" w:frame="1"/>
        </w:rPr>
        <w:t>）的规定对会计档案进行归档保存。</w:t>
      </w:r>
    </w:p>
    <w:p w14:paraId="21F15CBE" w14:textId="77777777" w:rsidR="000C35FD" w:rsidRPr="000C35FD" w:rsidRDefault="000C35FD" w:rsidP="000C35FD">
      <w:pPr>
        <w:widowControl/>
        <w:shd w:val="clear" w:color="auto" w:fill="FFFFFF"/>
        <w:spacing w:beforeAutospacing="1" w:afterAutospacing="1" w:line="420" w:lineRule="atLeast"/>
        <w:ind w:left="420"/>
        <w:jc w:val="center"/>
        <w:rPr>
          <w:rFonts w:ascii="微软雅黑" w:eastAsia="微软雅黑" w:hAnsi="微软雅黑" w:cs="宋体"/>
          <w:color w:val="333333"/>
          <w:kern w:val="0"/>
          <w:sz w:val="24"/>
          <w:szCs w:val="24"/>
        </w:rPr>
      </w:pPr>
      <w:r w:rsidRPr="000C35FD">
        <w:rPr>
          <w:rFonts w:ascii="微软雅黑" w:eastAsia="微软雅黑" w:hAnsi="微软雅黑" w:cs="宋体" w:hint="eastAsia"/>
          <w:b/>
          <w:bCs/>
          <w:color w:val="3F3F3F"/>
          <w:kern w:val="0"/>
          <w:sz w:val="24"/>
          <w:szCs w:val="24"/>
          <w:bdr w:val="none" w:sz="0" w:space="0" w:color="auto" w:frame="1"/>
        </w:rPr>
        <w:t>第九章 附则</w:t>
      </w:r>
    </w:p>
    <w:p w14:paraId="437FAF0D"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lastRenderedPageBreak/>
        <w:t>第三十八条 </w:t>
      </w:r>
      <w:r w:rsidRPr="000C35FD">
        <w:rPr>
          <w:rFonts w:ascii="微软雅黑" w:eastAsia="微软雅黑" w:hAnsi="微软雅黑" w:cs="宋体" w:hint="eastAsia"/>
          <w:color w:val="333333"/>
          <w:kern w:val="0"/>
          <w:sz w:val="24"/>
          <w:szCs w:val="24"/>
          <w:bdr w:val="none" w:sz="0" w:space="0" w:color="auto" w:frame="1"/>
        </w:rPr>
        <w:t>本制度若有与上级有关文件精神相抵触时，以上级文件精神为准，基金会将对本制度进行修订。</w:t>
      </w:r>
    </w:p>
    <w:p w14:paraId="146B713F" w14:textId="77777777" w:rsidR="000C35FD" w:rsidRPr="000C35FD" w:rsidRDefault="000C35FD" w:rsidP="000C35FD">
      <w:pPr>
        <w:widowControl/>
        <w:spacing w:line="450" w:lineRule="atLeast"/>
        <w:ind w:firstLine="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rPr>
        <w:t>第三十九条 </w:t>
      </w:r>
      <w:r w:rsidRPr="000C35FD">
        <w:rPr>
          <w:rFonts w:ascii="微软雅黑" w:eastAsia="微软雅黑" w:hAnsi="微软雅黑" w:cs="宋体" w:hint="eastAsia"/>
          <w:color w:val="333333"/>
          <w:kern w:val="0"/>
          <w:sz w:val="24"/>
          <w:szCs w:val="24"/>
          <w:bdr w:val="none" w:sz="0" w:space="0" w:color="auto" w:frame="1"/>
        </w:rPr>
        <w:t>本制度自发文之日起执行。</w:t>
      </w:r>
    </w:p>
    <w:p w14:paraId="78E44A76" w14:textId="77777777" w:rsidR="000C35FD" w:rsidRPr="000C35FD" w:rsidRDefault="000C35FD" w:rsidP="000C35FD">
      <w:pPr>
        <w:widowControl/>
        <w:spacing w:line="450" w:lineRule="atLeast"/>
        <w:ind w:left="555"/>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 </w:t>
      </w:r>
    </w:p>
    <w:p w14:paraId="69098321" w14:textId="77777777" w:rsidR="000C35FD" w:rsidRPr="000C35FD" w:rsidRDefault="000C35FD" w:rsidP="000C35FD">
      <w:pPr>
        <w:widowControl/>
        <w:spacing w:line="450" w:lineRule="atLeast"/>
        <w:ind w:left="480"/>
        <w:jc w:val="right"/>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计财处</w:t>
      </w:r>
    </w:p>
    <w:p w14:paraId="2CF88958" w14:textId="77777777" w:rsidR="000C35FD" w:rsidRPr="000C35FD" w:rsidRDefault="000C35FD" w:rsidP="000C35FD">
      <w:pPr>
        <w:widowControl/>
        <w:spacing w:line="450" w:lineRule="atLeast"/>
        <w:ind w:left="480"/>
        <w:jc w:val="right"/>
        <w:rPr>
          <w:rFonts w:ascii="微软雅黑" w:eastAsia="微软雅黑" w:hAnsi="微软雅黑" w:cs="宋体"/>
          <w:color w:val="333333"/>
          <w:kern w:val="0"/>
          <w:sz w:val="24"/>
          <w:szCs w:val="24"/>
        </w:rPr>
      </w:pPr>
      <w:r w:rsidRPr="000C35FD">
        <w:rPr>
          <w:rFonts w:ascii="微软雅黑" w:eastAsia="微软雅黑" w:hAnsi="微软雅黑" w:cs="宋体" w:hint="eastAsia"/>
          <w:color w:val="333333"/>
          <w:kern w:val="0"/>
          <w:sz w:val="24"/>
          <w:szCs w:val="24"/>
          <w:bdr w:val="none" w:sz="0" w:space="0" w:color="auto" w:frame="1"/>
        </w:rPr>
        <w:t>2017-3-31</w:t>
      </w:r>
    </w:p>
    <w:p w14:paraId="55B9AE37" w14:textId="77777777" w:rsidR="00E51AD8" w:rsidRPr="000C35FD" w:rsidRDefault="00E51AD8">
      <w:pPr>
        <w:rPr>
          <w:rFonts w:ascii="仿宋" w:eastAsia="仿宋" w:hAnsi="仿宋"/>
          <w:sz w:val="24"/>
          <w:szCs w:val="24"/>
        </w:rPr>
      </w:pPr>
    </w:p>
    <w:sectPr w:rsidR="00E51AD8" w:rsidRPr="000C35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FD"/>
    <w:rsid w:val="000C35FD"/>
    <w:rsid w:val="000E0199"/>
    <w:rsid w:val="00B005CF"/>
    <w:rsid w:val="00E5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D1F6"/>
  <w15:chartTrackingRefBased/>
  <w15:docId w15:val="{553A1133-48F5-48C4-B768-732740E4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杰瑛</dc:creator>
  <cp:keywords/>
  <dc:description/>
  <cp:lastModifiedBy>金 佳琪</cp:lastModifiedBy>
  <cp:revision>2</cp:revision>
  <dcterms:created xsi:type="dcterms:W3CDTF">2021-06-18T03:19:00Z</dcterms:created>
  <dcterms:modified xsi:type="dcterms:W3CDTF">2021-09-13T08:19:00Z</dcterms:modified>
</cp:coreProperties>
</file>