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0"/>
          <w:szCs w:val="30"/>
        </w:rPr>
      </w:pPr>
    </w:p>
    <w:p>
      <w:pPr>
        <w:jc w:val="center"/>
        <w:rPr>
          <w:rFonts w:cs="Tahoma" w:asciiTheme="minorEastAsia" w:hAnsiTheme="minorEastAsia"/>
          <w:b/>
          <w:bCs/>
          <w:color w:val="2F2727"/>
          <w:sz w:val="40"/>
          <w:szCs w:val="28"/>
        </w:rPr>
      </w:pPr>
      <w:r>
        <w:rPr>
          <w:rFonts w:cs="Tahoma" w:asciiTheme="minorEastAsia" w:hAnsiTheme="minorEastAsia"/>
          <w:b/>
          <w:bCs/>
          <w:color w:val="2F2727"/>
          <w:sz w:val="40"/>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cs="Tahoma" w:asciiTheme="minorEastAsia" w:hAnsiTheme="minorEastAsia"/>
          <w:b/>
          <w:bCs/>
          <w:color w:val="2F2727"/>
          <w:sz w:val="40"/>
          <w:szCs w:val="28"/>
        </w:rPr>
        <w:instrText xml:space="preserve">ADDIN CNKISM.UserStyle</w:instrText>
      </w:r>
      <w:r>
        <w:rPr>
          <w:rFonts w:cs="Tahoma" w:asciiTheme="minorEastAsia" w:hAnsiTheme="minorEastAsia"/>
          <w:b/>
          <w:bCs/>
          <w:color w:val="2F2727"/>
          <w:sz w:val="40"/>
          <w:szCs w:val="28"/>
        </w:rPr>
        <w:fldChar w:fldCharType="end"/>
      </w:r>
      <w:r>
        <w:rPr>
          <w:rFonts w:hint="eastAsia" w:cs="Tahoma" w:asciiTheme="minorEastAsia" w:hAnsiTheme="minorEastAsia"/>
          <w:b/>
          <w:bCs/>
          <w:color w:val="2F2727"/>
          <w:sz w:val="40"/>
          <w:szCs w:val="28"/>
        </w:rPr>
        <w:t>杭州医学院药学院“泰格医药奖学金”评审办法</w:t>
      </w:r>
    </w:p>
    <w:p>
      <w:pPr>
        <w:jc w:val="center"/>
        <w:rPr>
          <w:rFonts w:cs="Tahoma" w:asciiTheme="minorEastAsia" w:hAnsiTheme="minorEastAsia"/>
          <w:b/>
          <w:bCs/>
          <w:color w:val="2F2727"/>
          <w:sz w:val="40"/>
          <w:szCs w:val="28"/>
        </w:rPr>
      </w:pPr>
    </w:p>
    <w:p>
      <w:pPr>
        <w:ind w:firstLine="560" w:firstLineChars="200"/>
        <w:jc w:val="left"/>
        <w:rPr>
          <w:rFonts w:ascii="仿宋" w:hAnsi="仿宋" w:eastAsia="仿宋" w:cs="Tahoma"/>
          <w:color w:val="000000"/>
          <w:kern w:val="0"/>
          <w:sz w:val="28"/>
          <w:szCs w:val="28"/>
        </w:rPr>
      </w:pPr>
      <w:r>
        <w:rPr>
          <w:rFonts w:hint="eastAsia" w:ascii="仿宋" w:hAnsi="仿宋" w:eastAsia="仿宋" w:cs="Tahoma"/>
          <w:color w:val="000000"/>
          <w:kern w:val="0"/>
          <w:sz w:val="28"/>
          <w:szCs w:val="28"/>
        </w:rPr>
        <w:t>为了全面贯彻党的教育方针，激励学生</w:t>
      </w:r>
      <w:r>
        <w:rPr>
          <w:rFonts w:ascii="仿宋" w:hAnsi="仿宋" w:eastAsia="仿宋" w:cs="Tahoma"/>
          <w:color w:val="000000"/>
          <w:kern w:val="0"/>
          <w:sz w:val="28"/>
          <w:szCs w:val="28"/>
        </w:rPr>
        <w:t>奋发</w:t>
      </w:r>
      <w:r>
        <w:rPr>
          <w:rFonts w:hint="eastAsia" w:ascii="仿宋" w:hAnsi="仿宋" w:eastAsia="仿宋" w:cs="Tahoma"/>
          <w:color w:val="000000"/>
          <w:kern w:val="0"/>
          <w:sz w:val="28"/>
          <w:szCs w:val="28"/>
        </w:rPr>
        <w:t>向</w:t>
      </w:r>
      <w:r>
        <w:rPr>
          <w:rFonts w:ascii="仿宋" w:hAnsi="仿宋" w:eastAsia="仿宋" w:cs="Tahoma"/>
          <w:color w:val="000000"/>
          <w:kern w:val="0"/>
          <w:sz w:val="28"/>
          <w:szCs w:val="28"/>
        </w:rPr>
        <w:t>上</w:t>
      </w:r>
      <w:r>
        <w:rPr>
          <w:rFonts w:hint="eastAsia" w:ascii="仿宋" w:hAnsi="仿宋" w:eastAsia="仿宋" w:cs="Tahoma"/>
          <w:color w:val="000000"/>
          <w:kern w:val="0"/>
          <w:sz w:val="28"/>
          <w:szCs w:val="28"/>
        </w:rPr>
        <w:t>、</w:t>
      </w:r>
      <w:r>
        <w:rPr>
          <w:rFonts w:ascii="仿宋" w:hAnsi="仿宋" w:eastAsia="仿宋" w:cs="Tahoma"/>
          <w:color w:val="000000"/>
          <w:kern w:val="0"/>
          <w:sz w:val="28"/>
          <w:szCs w:val="28"/>
        </w:rPr>
        <w:t>刻苦学习</w:t>
      </w:r>
      <w:r>
        <w:rPr>
          <w:rFonts w:hint="eastAsia" w:ascii="仿宋" w:hAnsi="仿宋" w:eastAsia="仿宋" w:cs="Tahoma"/>
          <w:color w:val="000000"/>
          <w:kern w:val="0"/>
          <w:sz w:val="28"/>
          <w:szCs w:val="28"/>
        </w:rPr>
        <w:t>、勇于创新</w:t>
      </w:r>
      <w:r>
        <w:rPr>
          <w:rFonts w:ascii="仿宋" w:hAnsi="仿宋" w:eastAsia="仿宋" w:cs="Tahoma"/>
          <w:color w:val="000000"/>
          <w:kern w:val="0"/>
          <w:sz w:val="28"/>
          <w:szCs w:val="28"/>
        </w:rPr>
        <w:t>，促进学生德智体</w:t>
      </w:r>
      <w:r>
        <w:rPr>
          <w:rFonts w:hint="eastAsia" w:ascii="仿宋" w:hAnsi="仿宋" w:eastAsia="仿宋" w:cs="Tahoma"/>
          <w:color w:val="000000"/>
          <w:kern w:val="0"/>
          <w:sz w:val="28"/>
          <w:szCs w:val="28"/>
        </w:rPr>
        <w:t>美劳</w:t>
      </w:r>
      <w:r>
        <w:rPr>
          <w:rFonts w:ascii="仿宋" w:hAnsi="仿宋" w:eastAsia="仿宋" w:cs="Tahoma"/>
          <w:color w:val="000000"/>
          <w:kern w:val="0"/>
          <w:sz w:val="28"/>
          <w:szCs w:val="28"/>
        </w:rPr>
        <w:t>等方面全面发展，根据</w:t>
      </w:r>
      <w:r>
        <w:rPr>
          <w:rFonts w:hint="eastAsia" w:ascii="仿宋" w:hAnsi="仿宋" w:eastAsia="仿宋" w:cs="Tahoma"/>
          <w:color w:val="000000"/>
          <w:kern w:val="0"/>
          <w:sz w:val="28"/>
          <w:szCs w:val="28"/>
        </w:rPr>
        <w:t>学校奖学金评定办法和“泰格医药教育基金”捐赠协议</w:t>
      </w:r>
      <w:r>
        <w:rPr>
          <w:rFonts w:ascii="仿宋" w:hAnsi="仿宋" w:eastAsia="仿宋" w:cs="Tahoma"/>
          <w:color w:val="000000"/>
          <w:kern w:val="0"/>
          <w:sz w:val="28"/>
          <w:szCs w:val="28"/>
        </w:rPr>
        <w:t>，</w:t>
      </w:r>
      <w:r>
        <w:rPr>
          <w:rFonts w:hint="eastAsia" w:ascii="仿宋" w:hAnsi="仿宋" w:eastAsia="仿宋" w:cs="Tahoma"/>
          <w:color w:val="000000"/>
          <w:kern w:val="0"/>
          <w:sz w:val="28"/>
          <w:szCs w:val="28"/>
        </w:rPr>
        <w:t>经</w:t>
      </w:r>
      <w:r>
        <w:rPr>
          <w:rFonts w:ascii="仿宋" w:hAnsi="仿宋" w:eastAsia="仿宋" w:cs="Tahoma"/>
          <w:color w:val="000000"/>
          <w:kern w:val="0"/>
          <w:sz w:val="28"/>
          <w:szCs w:val="28"/>
        </w:rPr>
        <w:t>与</w:t>
      </w:r>
      <w:r>
        <w:rPr>
          <w:rFonts w:hint="eastAsia" w:ascii="仿宋" w:hAnsi="仿宋" w:eastAsia="仿宋" w:cs="Tahoma"/>
          <w:color w:val="000000"/>
          <w:kern w:val="0"/>
          <w:sz w:val="28"/>
          <w:szCs w:val="28"/>
        </w:rPr>
        <w:t>杭州泰格医药科技股份有限公司</w:t>
      </w:r>
      <w:r>
        <w:rPr>
          <w:rFonts w:ascii="仿宋" w:hAnsi="仿宋" w:eastAsia="仿宋" w:cs="Tahoma"/>
          <w:color w:val="000000"/>
          <w:kern w:val="0"/>
          <w:sz w:val="28"/>
          <w:szCs w:val="28"/>
        </w:rPr>
        <w:t>商议，</w:t>
      </w:r>
      <w:r>
        <w:rPr>
          <w:rFonts w:hint="eastAsia" w:ascii="仿宋" w:hAnsi="仿宋" w:eastAsia="仿宋" w:cs="Tahoma"/>
          <w:color w:val="000000"/>
          <w:kern w:val="0"/>
          <w:sz w:val="28"/>
          <w:szCs w:val="28"/>
        </w:rPr>
        <w:t>结合我院实际制定</w:t>
      </w:r>
      <w:r>
        <w:rPr>
          <w:rFonts w:ascii="仿宋" w:hAnsi="仿宋" w:eastAsia="仿宋" w:cs="Tahoma"/>
          <w:color w:val="000000"/>
          <w:kern w:val="0"/>
          <w:sz w:val="28"/>
          <w:szCs w:val="28"/>
        </w:rPr>
        <w:t>本评审办法。</w:t>
      </w:r>
    </w:p>
    <w:p>
      <w:pPr>
        <w:ind w:firstLine="560" w:firstLineChars="200"/>
        <w:jc w:val="left"/>
        <w:rPr>
          <w:rFonts w:ascii="仿宋" w:hAnsi="仿宋" w:eastAsia="仿宋" w:cs="Tahoma"/>
          <w:color w:val="000000"/>
          <w:kern w:val="0"/>
          <w:sz w:val="28"/>
          <w:szCs w:val="28"/>
        </w:rPr>
      </w:pPr>
      <w:r>
        <w:rPr>
          <w:rFonts w:hint="eastAsia" w:ascii="仿宋" w:hAnsi="仿宋" w:eastAsia="仿宋" w:cs="Tahoma"/>
          <w:color w:val="000000"/>
          <w:kern w:val="0"/>
          <w:sz w:val="28"/>
          <w:szCs w:val="28"/>
        </w:rPr>
        <w:t>一、奖学金评选对象和基本条件</w:t>
      </w:r>
    </w:p>
    <w:p>
      <w:pPr>
        <w:pStyle w:val="4"/>
        <w:shd w:val="clear" w:color="auto" w:fill="FFFFFF"/>
        <w:spacing w:before="0" w:beforeAutospacing="0" w:after="0" w:afterAutospacing="0" w:line="440" w:lineRule="atLeast"/>
        <w:ind w:firstLine="560"/>
        <w:jc w:val="both"/>
        <w:rPr>
          <w:rFonts w:ascii="仿宋" w:hAnsi="仿宋" w:eastAsia="仿宋" w:cs="Tahoma"/>
          <w:sz w:val="28"/>
          <w:szCs w:val="28"/>
        </w:rPr>
      </w:pPr>
      <w:r>
        <w:rPr>
          <w:rFonts w:hint="eastAsia" w:ascii="仿宋" w:hAnsi="仿宋" w:eastAsia="仿宋" w:cs="Tahoma"/>
          <w:color w:val="000000"/>
          <w:sz w:val="28"/>
          <w:szCs w:val="28"/>
        </w:rPr>
        <w:t>（一）“泰格</w:t>
      </w:r>
      <w:r>
        <w:rPr>
          <w:rFonts w:ascii="仿宋" w:hAnsi="仿宋" w:eastAsia="仿宋" w:cs="Tahoma"/>
          <w:color w:val="000000"/>
          <w:sz w:val="28"/>
          <w:szCs w:val="28"/>
        </w:rPr>
        <w:t>医药奖学金</w:t>
      </w:r>
      <w:r>
        <w:rPr>
          <w:rFonts w:hint="eastAsia" w:ascii="仿宋" w:hAnsi="仿宋" w:eastAsia="仿宋" w:cs="Tahoma"/>
          <w:color w:val="000000"/>
          <w:sz w:val="28"/>
          <w:szCs w:val="28"/>
        </w:rPr>
        <w:t>”评选对象为具有学籍的在校药学</w:t>
      </w:r>
      <w:r>
        <w:rPr>
          <w:rFonts w:ascii="仿宋" w:hAnsi="仿宋" w:eastAsia="仿宋" w:cs="Tahoma"/>
          <w:sz w:val="28"/>
          <w:szCs w:val="28"/>
        </w:rPr>
        <w:t>专业</w:t>
      </w:r>
      <w:r>
        <w:rPr>
          <w:rFonts w:hint="eastAsia" w:ascii="仿宋" w:hAnsi="仿宋" w:eastAsia="仿宋" w:cs="Tahoma"/>
          <w:sz w:val="28"/>
          <w:szCs w:val="28"/>
        </w:rPr>
        <w:t>本科二</w:t>
      </w:r>
      <w:r>
        <w:rPr>
          <w:rFonts w:ascii="仿宋" w:hAnsi="仿宋" w:eastAsia="仿宋" w:cs="Tahoma"/>
          <w:sz w:val="28"/>
          <w:szCs w:val="28"/>
        </w:rPr>
        <w:t>、三、四年级学生</w:t>
      </w:r>
      <w:r>
        <w:rPr>
          <w:rFonts w:hint="eastAsia" w:ascii="仿宋" w:hAnsi="仿宋" w:eastAsia="仿宋" w:cs="Tahoma"/>
          <w:sz w:val="28"/>
          <w:szCs w:val="28"/>
        </w:rPr>
        <w:t>（含专升本二年级</w:t>
      </w:r>
      <w:r>
        <w:rPr>
          <w:rFonts w:ascii="仿宋" w:hAnsi="仿宋" w:eastAsia="仿宋" w:cs="Tahoma"/>
          <w:sz w:val="28"/>
          <w:szCs w:val="28"/>
        </w:rPr>
        <w:t>学生</w:t>
      </w:r>
      <w:r>
        <w:rPr>
          <w:rFonts w:hint="eastAsia" w:ascii="仿宋" w:hAnsi="仿宋" w:eastAsia="仿宋" w:cs="Tahoma"/>
          <w:sz w:val="28"/>
          <w:szCs w:val="28"/>
        </w:rPr>
        <w:t>），团队申报时团队第一负责人及团队超过二分之一的人员须为符合评审对象条件的本科生。</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（二）奖学金评选的学生必须同时具备以下基本条件：</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1.</w:t>
      </w:r>
      <w:r>
        <w:rPr>
          <w:rFonts w:ascii="仿宋" w:hAnsi="仿宋" w:eastAsia="仿宋" w:cs="Tahoma"/>
          <w:color w:val="000000"/>
          <w:sz w:val="28"/>
          <w:szCs w:val="28"/>
        </w:rPr>
        <w:t xml:space="preserve"> </w:t>
      </w:r>
      <w:r>
        <w:rPr>
          <w:rFonts w:hint="eastAsia" w:ascii="仿宋" w:hAnsi="仿宋" w:eastAsia="仿宋" w:cs="Tahoma"/>
          <w:color w:val="000000"/>
          <w:sz w:val="28"/>
          <w:szCs w:val="28"/>
        </w:rPr>
        <w:t>热爱祖国，拥护中国共产党的领导；</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2．遵纪守法，诚实守信，品德优良；</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3．尊敬师长，团结同学，关心集体；</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4．学习勤奋，勇于创新，成绩优良，当学年无挂科课程；</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5．积极参加体育锻炼，身体素质良好，达到《学生体质健康标准》合格及以上等级（免测学生除外）；</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ascii="仿宋" w:hAnsi="仿宋" w:eastAsia="仿宋" w:cs="Tahoma"/>
          <w:color w:val="000000"/>
          <w:sz w:val="28"/>
          <w:szCs w:val="28"/>
        </w:rPr>
        <w:t>6</w:t>
      </w:r>
      <w:r>
        <w:rPr>
          <w:rFonts w:hint="eastAsia" w:ascii="仿宋" w:hAnsi="仿宋" w:eastAsia="仿宋" w:cs="Tahoma"/>
          <w:color w:val="000000"/>
          <w:sz w:val="28"/>
          <w:szCs w:val="28"/>
        </w:rPr>
        <w:t>．无拖欠学费、住宿费及其他信用不良的情况。</w:t>
      </w:r>
    </w:p>
    <w:p>
      <w:pPr>
        <w:pStyle w:val="4"/>
        <w:shd w:val="clear" w:color="auto" w:fill="FFFFFF"/>
        <w:spacing w:before="0" w:beforeAutospacing="0" w:after="0" w:afterAutospacing="0" w:line="500" w:lineRule="atLeast"/>
        <w:ind w:firstLine="560"/>
        <w:rPr>
          <w:rFonts w:ascii="仿宋" w:hAnsi="仿宋" w:eastAsia="仿宋" w:cs="Tahoma"/>
          <w:sz w:val="28"/>
          <w:szCs w:val="28"/>
        </w:rPr>
      </w:pPr>
      <w:r>
        <w:rPr>
          <w:rFonts w:hint="eastAsia" w:ascii="仿宋" w:hAnsi="仿宋" w:eastAsia="仿宋" w:cs="Tahoma"/>
          <w:sz w:val="28"/>
          <w:szCs w:val="28"/>
        </w:rPr>
        <w:t>（三）评定学年中有以下</w:t>
      </w:r>
      <w:r>
        <w:rPr>
          <w:rFonts w:ascii="仿宋" w:hAnsi="仿宋" w:eastAsia="仿宋" w:cs="Tahoma"/>
          <w:sz w:val="28"/>
          <w:szCs w:val="28"/>
        </w:rPr>
        <w:t>情况，同等条件</w:t>
      </w:r>
      <w:r>
        <w:rPr>
          <w:rFonts w:hint="eastAsia" w:ascii="仿宋" w:hAnsi="仿宋" w:eastAsia="仿宋" w:cs="Tahoma"/>
          <w:sz w:val="28"/>
          <w:szCs w:val="28"/>
        </w:rPr>
        <w:t>下</w:t>
      </w:r>
      <w:r>
        <w:rPr>
          <w:rFonts w:ascii="仿宋" w:hAnsi="仿宋" w:eastAsia="仿宋" w:cs="Tahoma"/>
          <w:sz w:val="28"/>
          <w:szCs w:val="28"/>
        </w:rPr>
        <w:t>优先考虑</w:t>
      </w:r>
      <w:r>
        <w:rPr>
          <w:rFonts w:hint="eastAsia" w:ascii="仿宋" w:hAnsi="仿宋" w:eastAsia="仿宋" w:cs="Tahoma"/>
          <w:sz w:val="28"/>
          <w:szCs w:val="28"/>
        </w:rPr>
        <w:t>：</w:t>
      </w:r>
    </w:p>
    <w:p>
      <w:pPr>
        <w:pStyle w:val="4"/>
        <w:shd w:val="clear" w:color="auto" w:fill="FFFFFF"/>
        <w:spacing w:before="0" w:beforeAutospacing="0" w:after="0" w:afterAutospacing="0" w:line="500" w:lineRule="atLeast"/>
        <w:ind w:firstLine="560"/>
        <w:rPr>
          <w:rFonts w:ascii="仿宋" w:hAnsi="仿宋" w:eastAsia="仿宋" w:cs="Tahoma"/>
          <w:sz w:val="28"/>
          <w:szCs w:val="28"/>
        </w:rPr>
      </w:pPr>
      <w:r>
        <w:rPr>
          <w:rFonts w:hint="eastAsia" w:ascii="仿宋" w:hAnsi="仿宋" w:eastAsia="仿宋" w:cs="Tahoma"/>
          <w:sz w:val="28"/>
          <w:szCs w:val="28"/>
        </w:rPr>
        <w:t>1．</w:t>
      </w:r>
      <w:r>
        <w:rPr>
          <w:rFonts w:ascii="仿宋" w:hAnsi="仿宋" w:eastAsia="仿宋" w:cs="Tahoma"/>
          <w:sz w:val="28"/>
          <w:szCs w:val="28"/>
        </w:rPr>
        <w:t>家庭经济困难学生；</w:t>
      </w:r>
    </w:p>
    <w:p>
      <w:pPr>
        <w:pStyle w:val="4"/>
        <w:shd w:val="clear" w:color="auto" w:fill="FFFFFF"/>
        <w:spacing w:before="0" w:beforeAutospacing="0" w:after="0" w:afterAutospacing="0" w:line="500" w:lineRule="atLeast"/>
        <w:ind w:firstLine="560"/>
        <w:rPr>
          <w:rFonts w:ascii="仿宋" w:hAnsi="仿宋" w:eastAsia="仿宋" w:cs="Tahoma"/>
          <w:sz w:val="28"/>
          <w:szCs w:val="28"/>
        </w:rPr>
      </w:pPr>
      <w:r>
        <w:rPr>
          <w:rFonts w:ascii="仿宋" w:hAnsi="仿宋" w:eastAsia="仿宋" w:cs="Tahoma"/>
          <w:sz w:val="28"/>
          <w:szCs w:val="28"/>
        </w:rPr>
        <w:t>2</w:t>
      </w:r>
      <w:r>
        <w:rPr>
          <w:rFonts w:hint="eastAsia" w:ascii="仿宋" w:hAnsi="仿宋" w:eastAsia="仿宋" w:cs="Tahoma"/>
          <w:sz w:val="28"/>
          <w:szCs w:val="28"/>
        </w:rPr>
        <w:t>.</w:t>
      </w:r>
      <w:r>
        <w:rPr>
          <w:rFonts w:ascii="仿宋" w:hAnsi="仿宋" w:eastAsia="仿宋" w:cs="Tahoma"/>
          <w:sz w:val="28"/>
          <w:szCs w:val="28"/>
        </w:rPr>
        <w:t xml:space="preserve"> </w:t>
      </w:r>
      <w:r>
        <w:rPr>
          <w:rFonts w:hint="eastAsia" w:ascii="仿宋" w:hAnsi="仿宋" w:eastAsia="仿宋" w:cs="Tahoma"/>
          <w:sz w:val="28"/>
          <w:szCs w:val="28"/>
        </w:rPr>
        <w:t>积极参加由泰格医药和药学院共同开设的《药物临床试验管理（</w:t>
      </w:r>
      <w:r>
        <w:rPr>
          <w:rFonts w:ascii="仿宋" w:hAnsi="仿宋" w:eastAsia="仿宋" w:cs="Tahoma"/>
          <w:sz w:val="28"/>
          <w:szCs w:val="28"/>
        </w:rPr>
        <w:t>GCP</w:t>
      </w:r>
      <w:r>
        <w:rPr>
          <w:rFonts w:hint="eastAsia" w:ascii="仿宋" w:hAnsi="仿宋" w:eastAsia="仿宋" w:cs="Tahoma"/>
          <w:sz w:val="28"/>
          <w:szCs w:val="28"/>
        </w:rPr>
        <w:t>）》课程的学习，并通过课程考试的学生。</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（四）评定学年中有下列情况之一的学生，不得申请该奖学金：</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1．处于休学期间的；</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2．有违法或违反校纪校规行为，受到警告及以上处分的。</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二、奖学金</w:t>
      </w:r>
      <w:r>
        <w:rPr>
          <w:rFonts w:ascii="仿宋" w:hAnsi="仿宋" w:eastAsia="仿宋" w:cs="Tahoma"/>
          <w:color w:val="000000"/>
          <w:sz w:val="28"/>
          <w:szCs w:val="28"/>
        </w:rPr>
        <w:t>的类别、</w:t>
      </w:r>
      <w:r>
        <w:rPr>
          <w:rFonts w:hint="eastAsia" w:ascii="仿宋" w:hAnsi="仿宋" w:eastAsia="仿宋" w:cs="Tahoma"/>
          <w:color w:val="000000"/>
          <w:sz w:val="28"/>
          <w:szCs w:val="28"/>
        </w:rPr>
        <w:t>等级</w:t>
      </w:r>
      <w:r>
        <w:rPr>
          <w:rFonts w:ascii="仿宋" w:hAnsi="仿宋" w:eastAsia="仿宋" w:cs="Tahoma"/>
          <w:color w:val="000000"/>
          <w:sz w:val="28"/>
          <w:szCs w:val="28"/>
        </w:rPr>
        <w:t>、</w:t>
      </w:r>
      <w:r>
        <w:rPr>
          <w:rFonts w:hint="eastAsia" w:ascii="仿宋" w:hAnsi="仿宋" w:eastAsia="仿宋" w:cs="Tahoma"/>
          <w:color w:val="000000"/>
          <w:sz w:val="28"/>
          <w:szCs w:val="28"/>
        </w:rPr>
        <w:t>具体要求</w:t>
      </w:r>
    </w:p>
    <w:p>
      <w:pPr>
        <w:pStyle w:val="4"/>
        <w:shd w:val="clear" w:color="auto" w:fill="FFFFFF"/>
        <w:spacing w:before="0" w:beforeAutospacing="0" w:after="0" w:afterAutospacing="0" w:line="500" w:lineRule="atLeast"/>
        <w:ind w:firstLine="560"/>
        <w:rPr>
          <w:rFonts w:ascii="仿宋" w:hAnsi="仿宋" w:eastAsia="仿宋" w:cs="Tahoma"/>
          <w:color w:val="FFFFFF" w:themeColor="background1"/>
          <w:sz w:val="28"/>
          <w:szCs w:val="28"/>
        </w:rPr>
      </w:pPr>
      <w:r>
        <w:rPr>
          <w:rFonts w:hint="eastAsia" w:ascii="仿宋" w:hAnsi="仿宋" w:eastAsia="仿宋" w:cs="Tahoma"/>
          <w:color w:val="000000"/>
          <w:sz w:val="28"/>
          <w:szCs w:val="28"/>
        </w:rPr>
        <w:t>“泰格医药教育基金”由</w:t>
      </w:r>
      <w:r>
        <w:rPr>
          <w:rFonts w:ascii="仿宋" w:hAnsi="仿宋" w:eastAsia="仿宋" w:cs="Tahoma"/>
          <w:color w:val="000000"/>
          <w:sz w:val="28"/>
          <w:szCs w:val="28"/>
        </w:rPr>
        <w:t>杭州泰格医药科技股份有限公司设立，</w:t>
      </w:r>
      <w:r>
        <w:rPr>
          <w:rFonts w:hint="eastAsia" w:ascii="仿宋" w:hAnsi="仿宋" w:eastAsia="仿宋" w:cs="Tahoma"/>
          <w:color w:val="000000"/>
          <w:sz w:val="28"/>
          <w:szCs w:val="28"/>
        </w:rPr>
        <w:t>分设泰格品学兼优奖学金、泰格医药卓越</w:t>
      </w:r>
      <w:r>
        <w:rPr>
          <w:rFonts w:ascii="仿宋" w:hAnsi="仿宋" w:eastAsia="仿宋" w:cs="Tahoma"/>
          <w:color w:val="000000"/>
          <w:sz w:val="28"/>
          <w:szCs w:val="28"/>
        </w:rPr>
        <w:t>奖学金</w:t>
      </w:r>
      <w:r>
        <w:rPr>
          <w:rFonts w:hint="eastAsia" w:ascii="仿宋" w:hAnsi="仿宋" w:eastAsia="仿宋" w:cs="Tahoma"/>
          <w:color w:val="000000"/>
          <w:sz w:val="28"/>
          <w:szCs w:val="28"/>
        </w:rPr>
        <w:t>。当年若有结余自动转存下一年度奖学金，或用于举办相关奖励活动开支。</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（一）“泰格医药品学兼优奖学金”</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此部分奖学金针对在校药学</w:t>
      </w:r>
      <w:r>
        <w:rPr>
          <w:rFonts w:ascii="仿宋" w:hAnsi="仿宋" w:eastAsia="仿宋" w:cs="Tahoma"/>
          <w:color w:val="000000"/>
          <w:sz w:val="28"/>
          <w:szCs w:val="28"/>
        </w:rPr>
        <w:t>专</w:t>
      </w:r>
      <w:r>
        <w:rPr>
          <w:rFonts w:ascii="仿宋" w:hAnsi="仿宋" w:eastAsia="仿宋" w:cs="Tahoma"/>
          <w:sz w:val="28"/>
          <w:szCs w:val="28"/>
        </w:rPr>
        <w:t>业</w:t>
      </w:r>
      <w:r>
        <w:rPr>
          <w:rFonts w:hint="eastAsia" w:ascii="仿宋" w:hAnsi="仿宋" w:eastAsia="仿宋" w:cs="Tahoma"/>
          <w:sz w:val="28"/>
          <w:szCs w:val="28"/>
        </w:rPr>
        <w:t>本科生二</w:t>
      </w:r>
      <w:r>
        <w:rPr>
          <w:rFonts w:ascii="仿宋" w:hAnsi="仿宋" w:eastAsia="仿宋" w:cs="Tahoma"/>
          <w:sz w:val="28"/>
          <w:szCs w:val="28"/>
        </w:rPr>
        <w:t>、三、四年级学生，以及</w:t>
      </w:r>
      <w:r>
        <w:rPr>
          <w:rFonts w:hint="eastAsia" w:ascii="仿宋" w:hAnsi="仿宋" w:eastAsia="仿宋" w:cs="Tahoma"/>
          <w:sz w:val="28"/>
          <w:szCs w:val="28"/>
        </w:rPr>
        <w:t>专升本二年级</w:t>
      </w:r>
      <w:r>
        <w:rPr>
          <w:rFonts w:ascii="仿宋" w:hAnsi="仿宋" w:eastAsia="仿宋" w:cs="Tahoma"/>
          <w:sz w:val="28"/>
          <w:szCs w:val="28"/>
        </w:rPr>
        <w:t>学生</w:t>
      </w:r>
      <w:r>
        <w:rPr>
          <w:rFonts w:hint="eastAsia" w:ascii="仿宋" w:hAnsi="仿宋" w:eastAsia="仿宋" w:cs="Tahoma"/>
          <w:sz w:val="28"/>
          <w:szCs w:val="28"/>
        </w:rPr>
        <w:t>，奖学金设</w:t>
      </w:r>
      <w:r>
        <w:rPr>
          <w:rFonts w:ascii="仿宋" w:hAnsi="仿宋" w:eastAsia="仿宋" w:cs="Tahoma"/>
          <w:sz w:val="28"/>
          <w:szCs w:val="28"/>
        </w:rPr>
        <w:t>一</w:t>
      </w:r>
      <w:r>
        <w:rPr>
          <w:rFonts w:hint="eastAsia" w:ascii="仿宋" w:hAnsi="仿宋" w:eastAsia="仿宋" w:cs="Tahoma"/>
          <w:sz w:val="28"/>
          <w:szCs w:val="28"/>
        </w:rPr>
        <w:t>、</w:t>
      </w:r>
      <w:r>
        <w:rPr>
          <w:rFonts w:ascii="仿宋" w:hAnsi="仿宋" w:eastAsia="仿宋" w:cs="Tahoma"/>
          <w:sz w:val="28"/>
          <w:szCs w:val="28"/>
        </w:rPr>
        <w:t>二</w:t>
      </w:r>
      <w:r>
        <w:rPr>
          <w:rFonts w:hint="eastAsia" w:ascii="仿宋" w:hAnsi="仿宋" w:eastAsia="仿宋" w:cs="Tahoma"/>
          <w:sz w:val="28"/>
          <w:szCs w:val="28"/>
        </w:rPr>
        <w:t>、</w:t>
      </w:r>
      <w:r>
        <w:rPr>
          <w:rFonts w:ascii="仿宋" w:hAnsi="仿宋" w:eastAsia="仿宋" w:cs="Tahoma"/>
          <w:sz w:val="28"/>
          <w:szCs w:val="28"/>
        </w:rPr>
        <w:t>三等，</w:t>
      </w:r>
      <w:r>
        <w:rPr>
          <w:rFonts w:hint="eastAsia" w:ascii="仿宋" w:hAnsi="仿宋" w:eastAsia="仿宋" w:cs="Tahoma"/>
          <w:sz w:val="28"/>
          <w:szCs w:val="28"/>
        </w:rPr>
        <w:t>金额分别为3000元/人</w:t>
      </w:r>
      <w:r>
        <w:rPr>
          <w:rFonts w:ascii="仿宋" w:hAnsi="仿宋" w:eastAsia="仿宋" w:cs="Tahoma"/>
          <w:sz w:val="28"/>
          <w:szCs w:val="28"/>
        </w:rPr>
        <w:t>、</w:t>
      </w:r>
      <w:r>
        <w:rPr>
          <w:rFonts w:hint="eastAsia" w:ascii="仿宋" w:hAnsi="仿宋" w:eastAsia="仿宋" w:cs="Tahoma"/>
          <w:sz w:val="28"/>
          <w:szCs w:val="28"/>
        </w:rPr>
        <w:t>2000元/人、</w:t>
      </w:r>
      <w:r>
        <w:rPr>
          <w:rFonts w:ascii="仿宋" w:hAnsi="仿宋" w:eastAsia="仿宋" w:cs="Tahoma"/>
          <w:sz w:val="28"/>
          <w:szCs w:val="28"/>
        </w:rPr>
        <w:t>1000</w:t>
      </w:r>
      <w:r>
        <w:rPr>
          <w:rFonts w:hint="eastAsia" w:ascii="仿宋" w:hAnsi="仿宋" w:eastAsia="仿宋" w:cs="Tahoma"/>
          <w:sz w:val="28"/>
          <w:szCs w:val="28"/>
        </w:rPr>
        <w:t>元/人，</w:t>
      </w:r>
      <w:r>
        <w:rPr>
          <w:rFonts w:hint="eastAsia" w:ascii="仿宋" w:hAnsi="仿宋" w:eastAsia="仿宋" w:cs="Tahoma"/>
          <w:color w:val="000000"/>
          <w:sz w:val="28"/>
          <w:szCs w:val="28"/>
        </w:rPr>
        <w:t>以</w:t>
      </w:r>
      <w:r>
        <w:rPr>
          <w:rFonts w:ascii="仿宋" w:hAnsi="仿宋" w:eastAsia="仿宋" w:cs="Tahoma"/>
          <w:color w:val="000000"/>
          <w:sz w:val="28"/>
          <w:szCs w:val="28"/>
        </w:rPr>
        <w:t>年级为单位</w:t>
      </w:r>
      <w:r>
        <w:rPr>
          <w:rFonts w:hint="eastAsia" w:ascii="仿宋" w:hAnsi="仿宋" w:eastAsia="仿宋" w:cs="Tahoma"/>
          <w:color w:val="000000"/>
          <w:sz w:val="28"/>
          <w:szCs w:val="28"/>
        </w:rPr>
        <w:t>，按照学年综合成绩分（思德分15%+学业成绩70%+能力素质分15%）排名</w:t>
      </w:r>
      <w:r>
        <w:rPr>
          <w:rFonts w:ascii="仿宋" w:hAnsi="仿宋" w:eastAsia="仿宋" w:cs="Tahoma"/>
          <w:color w:val="000000"/>
          <w:sz w:val="28"/>
          <w:szCs w:val="28"/>
        </w:rPr>
        <w:t>进行</w:t>
      </w:r>
      <w:r>
        <w:rPr>
          <w:rFonts w:hint="eastAsia" w:ascii="仿宋" w:hAnsi="仿宋" w:eastAsia="仿宋" w:cs="Tahoma"/>
          <w:color w:val="000000"/>
          <w:sz w:val="28"/>
          <w:szCs w:val="28"/>
        </w:rPr>
        <w:t>评选。</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1.一等奖，1名</w:t>
      </w:r>
      <w:r>
        <w:rPr>
          <w:rFonts w:ascii="仿宋" w:hAnsi="仿宋" w:eastAsia="仿宋" w:cs="Tahoma"/>
          <w:color w:val="000000"/>
          <w:sz w:val="28"/>
          <w:szCs w:val="28"/>
        </w:rPr>
        <w:t>，</w:t>
      </w:r>
      <w:r>
        <w:rPr>
          <w:rFonts w:hint="eastAsia" w:ascii="仿宋" w:hAnsi="仿宋" w:eastAsia="仿宋" w:cs="Tahoma"/>
          <w:sz w:val="28"/>
          <w:szCs w:val="28"/>
        </w:rPr>
        <w:t>学年</w:t>
      </w:r>
      <w:r>
        <w:rPr>
          <w:rFonts w:ascii="仿宋" w:hAnsi="仿宋" w:eastAsia="仿宋" w:cs="Tahoma"/>
          <w:sz w:val="28"/>
          <w:szCs w:val="28"/>
        </w:rPr>
        <w:t>综合成绩</w:t>
      </w:r>
      <w:r>
        <w:rPr>
          <w:rFonts w:hint="eastAsia" w:ascii="仿宋" w:hAnsi="仿宋" w:eastAsia="仿宋" w:cs="Tahoma"/>
          <w:color w:val="000000"/>
          <w:sz w:val="28"/>
          <w:szCs w:val="28"/>
        </w:rPr>
        <w:t>在</w:t>
      </w:r>
      <w:r>
        <w:rPr>
          <w:rFonts w:ascii="仿宋" w:hAnsi="仿宋" w:eastAsia="仿宋" w:cs="Tahoma"/>
          <w:color w:val="000000"/>
          <w:sz w:val="28"/>
          <w:szCs w:val="28"/>
        </w:rPr>
        <w:t>同专业年级前</w:t>
      </w:r>
      <w:r>
        <w:rPr>
          <w:rFonts w:hint="eastAsia" w:ascii="仿宋" w:hAnsi="仿宋" w:eastAsia="仿宋" w:cs="Tahoma"/>
          <w:color w:val="000000"/>
          <w:sz w:val="28"/>
          <w:szCs w:val="28"/>
        </w:rPr>
        <w:t>5</w:t>
      </w:r>
      <w:r>
        <w:rPr>
          <w:rFonts w:ascii="仿宋" w:hAnsi="仿宋" w:eastAsia="仿宋" w:cs="Tahoma"/>
          <w:color w:val="000000"/>
          <w:sz w:val="28"/>
          <w:szCs w:val="28"/>
        </w:rPr>
        <w:t>%</w:t>
      </w:r>
      <w:r>
        <w:rPr>
          <w:rFonts w:hint="eastAsia" w:ascii="仿宋" w:hAnsi="仿宋" w:eastAsia="仿宋" w:cs="Tahoma"/>
          <w:color w:val="000000"/>
          <w:sz w:val="28"/>
          <w:szCs w:val="28"/>
        </w:rPr>
        <w:t>。</w:t>
      </w:r>
      <w:r>
        <w:rPr>
          <w:rFonts w:ascii="仿宋" w:hAnsi="仿宋" w:eastAsia="仿宋" w:cs="Tahoma"/>
          <w:color w:val="000000"/>
          <w:sz w:val="28"/>
          <w:szCs w:val="28"/>
        </w:rPr>
        <w:t xml:space="preserve"> </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2.二等奖，</w:t>
      </w:r>
      <w:r>
        <w:rPr>
          <w:rFonts w:ascii="仿宋" w:hAnsi="仿宋" w:eastAsia="仿宋" w:cs="Tahoma"/>
          <w:color w:val="000000"/>
          <w:sz w:val="28"/>
          <w:szCs w:val="28"/>
        </w:rPr>
        <w:t>2</w:t>
      </w:r>
      <w:r>
        <w:rPr>
          <w:rFonts w:hint="eastAsia" w:ascii="仿宋" w:hAnsi="仿宋" w:eastAsia="仿宋" w:cs="Tahoma"/>
          <w:color w:val="000000"/>
          <w:sz w:val="28"/>
          <w:szCs w:val="28"/>
        </w:rPr>
        <w:t>名</w:t>
      </w:r>
      <w:r>
        <w:rPr>
          <w:rFonts w:ascii="仿宋" w:hAnsi="仿宋" w:eastAsia="仿宋" w:cs="Tahoma"/>
          <w:color w:val="000000"/>
          <w:sz w:val="28"/>
          <w:szCs w:val="28"/>
        </w:rPr>
        <w:t>，</w:t>
      </w:r>
      <w:r>
        <w:rPr>
          <w:rFonts w:hint="eastAsia" w:ascii="仿宋" w:hAnsi="仿宋" w:eastAsia="仿宋" w:cs="Tahoma"/>
          <w:color w:val="000000"/>
          <w:sz w:val="28"/>
          <w:szCs w:val="28"/>
        </w:rPr>
        <w:t>学年</w:t>
      </w:r>
      <w:r>
        <w:rPr>
          <w:rFonts w:ascii="仿宋" w:hAnsi="仿宋" w:eastAsia="仿宋" w:cs="Tahoma"/>
          <w:color w:val="000000"/>
          <w:sz w:val="28"/>
          <w:szCs w:val="28"/>
        </w:rPr>
        <w:t>综合成绩</w:t>
      </w:r>
      <w:r>
        <w:rPr>
          <w:rFonts w:hint="eastAsia" w:ascii="仿宋" w:hAnsi="仿宋" w:eastAsia="仿宋" w:cs="Tahoma"/>
          <w:color w:val="000000"/>
          <w:sz w:val="28"/>
          <w:szCs w:val="28"/>
        </w:rPr>
        <w:t>在</w:t>
      </w:r>
      <w:r>
        <w:rPr>
          <w:rFonts w:ascii="仿宋" w:hAnsi="仿宋" w:eastAsia="仿宋" w:cs="Tahoma"/>
          <w:color w:val="000000"/>
          <w:sz w:val="28"/>
          <w:szCs w:val="28"/>
        </w:rPr>
        <w:t>同专业年级前</w:t>
      </w:r>
      <w:r>
        <w:rPr>
          <w:rFonts w:hint="eastAsia" w:ascii="仿宋" w:hAnsi="仿宋" w:eastAsia="仿宋" w:cs="Tahoma"/>
          <w:color w:val="000000"/>
          <w:sz w:val="28"/>
          <w:szCs w:val="28"/>
        </w:rPr>
        <w:t>10</w:t>
      </w:r>
      <w:r>
        <w:rPr>
          <w:rFonts w:ascii="仿宋" w:hAnsi="仿宋" w:eastAsia="仿宋" w:cs="Tahoma"/>
          <w:color w:val="000000"/>
          <w:sz w:val="28"/>
          <w:szCs w:val="28"/>
        </w:rPr>
        <w:t>%</w:t>
      </w:r>
      <w:r>
        <w:rPr>
          <w:rFonts w:hint="eastAsia" w:ascii="仿宋" w:hAnsi="仿宋" w:eastAsia="仿宋" w:cs="Tahoma"/>
          <w:color w:val="000000"/>
          <w:sz w:val="28"/>
          <w:szCs w:val="28"/>
        </w:rPr>
        <w:t>。</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3.三等奖，</w:t>
      </w:r>
      <w:r>
        <w:rPr>
          <w:rFonts w:ascii="仿宋" w:hAnsi="仿宋" w:eastAsia="仿宋" w:cs="Tahoma"/>
          <w:color w:val="000000"/>
          <w:sz w:val="28"/>
          <w:szCs w:val="28"/>
        </w:rPr>
        <w:t>3</w:t>
      </w:r>
      <w:r>
        <w:rPr>
          <w:rFonts w:hint="eastAsia" w:ascii="仿宋" w:hAnsi="仿宋" w:eastAsia="仿宋" w:cs="Tahoma"/>
          <w:color w:val="000000"/>
          <w:sz w:val="28"/>
          <w:szCs w:val="28"/>
        </w:rPr>
        <w:t>名</w:t>
      </w:r>
      <w:r>
        <w:rPr>
          <w:rFonts w:ascii="仿宋" w:hAnsi="仿宋" w:eastAsia="仿宋" w:cs="Tahoma"/>
          <w:color w:val="000000"/>
          <w:sz w:val="28"/>
          <w:szCs w:val="28"/>
        </w:rPr>
        <w:t>，</w:t>
      </w:r>
      <w:r>
        <w:rPr>
          <w:rFonts w:hint="eastAsia" w:ascii="仿宋" w:hAnsi="仿宋" w:eastAsia="仿宋" w:cs="Tahoma"/>
          <w:color w:val="000000"/>
          <w:sz w:val="28"/>
          <w:szCs w:val="28"/>
        </w:rPr>
        <w:t>学年</w:t>
      </w:r>
      <w:r>
        <w:rPr>
          <w:rFonts w:ascii="仿宋" w:hAnsi="仿宋" w:eastAsia="仿宋" w:cs="Tahoma"/>
          <w:color w:val="000000"/>
          <w:sz w:val="28"/>
          <w:szCs w:val="28"/>
        </w:rPr>
        <w:t>综合成绩</w:t>
      </w:r>
      <w:r>
        <w:rPr>
          <w:rFonts w:hint="eastAsia" w:ascii="仿宋" w:hAnsi="仿宋" w:eastAsia="仿宋" w:cs="Tahoma"/>
          <w:color w:val="000000"/>
          <w:sz w:val="28"/>
          <w:szCs w:val="28"/>
        </w:rPr>
        <w:t>在</w:t>
      </w:r>
      <w:r>
        <w:rPr>
          <w:rFonts w:ascii="仿宋" w:hAnsi="仿宋" w:eastAsia="仿宋" w:cs="Tahoma"/>
          <w:color w:val="000000"/>
          <w:sz w:val="28"/>
          <w:szCs w:val="28"/>
        </w:rPr>
        <w:t>同专业年级前</w:t>
      </w:r>
      <w:r>
        <w:rPr>
          <w:rFonts w:hint="eastAsia" w:ascii="仿宋" w:hAnsi="仿宋" w:eastAsia="仿宋" w:cs="Tahoma"/>
          <w:color w:val="000000"/>
          <w:sz w:val="28"/>
          <w:szCs w:val="28"/>
        </w:rPr>
        <w:t>20</w:t>
      </w:r>
      <w:r>
        <w:rPr>
          <w:rFonts w:ascii="仿宋" w:hAnsi="仿宋" w:eastAsia="仿宋" w:cs="Tahoma"/>
          <w:color w:val="000000"/>
          <w:sz w:val="28"/>
          <w:szCs w:val="28"/>
        </w:rPr>
        <w:t>%</w:t>
      </w:r>
      <w:r>
        <w:rPr>
          <w:rFonts w:hint="eastAsia" w:ascii="仿宋" w:hAnsi="仿宋" w:eastAsia="仿宋" w:cs="Tahoma"/>
          <w:color w:val="000000"/>
          <w:sz w:val="28"/>
          <w:szCs w:val="28"/>
        </w:rPr>
        <w:t>。</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（二）“泰格</w:t>
      </w:r>
      <w:r>
        <w:rPr>
          <w:rFonts w:ascii="仿宋" w:hAnsi="仿宋" w:eastAsia="仿宋" w:cs="Tahoma"/>
          <w:color w:val="000000"/>
          <w:sz w:val="28"/>
          <w:szCs w:val="28"/>
        </w:rPr>
        <w:t>医药</w:t>
      </w:r>
      <w:r>
        <w:rPr>
          <w:rFonts w:hint="eastAsia" w:ascii="仿宋" w:hAnsi="仿宋" w:eastAsia="仿宋" w:cs="Tahoma"/>
          <w:color w:val="000000"/>
          <w:sz w:val="28"/>
          <w:szCs w:val="28"/>
        </w:rPr>
        <w:t>卓越</w:t>
      </w:r>
      <w:r>
        <w:rPr>
          <w:rFonts w:ascii="仿宋" w:hAnsi="仿宋" w:eastAsia="仿宋" w:cs="Tahoma"/>
          <w:color w:val="000000"/>
          <w:sz w:val="28"/>
          <w:szCs w:val="28"/>
        </w:rPr>
        <w:t>奖学金</w:t>
      </w:r>
      <w:r>
        <w:rPr>
          <w:rFonts w:hint="eastAsia" w:ascii="仿宋" w:hAnsi="仿宋" w:eastAsia="仿宋" w:cs="Tahoma"/>
          <w:color w:val="000000"/>
          <w:sz w:val="28"/>
          <w:szCs w:val="28"/>
        </w:rPr>
        <w:t>”</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 xml:space="preserve"> 用于奖励在科研创新、学科竞赛等方面取得卓越成绩的学生。设特等奖1名、一等奖1名和优秀奖2名，按评分先后顺序排名。特等奖</w:t>
      </w:r>
      <w:r>
        <w:rPr>
          <w:rFonts w:ascii="仿宋" w:hAnsi="仿宋" w:eastAsia="仿宋" w:cs="Tahoma"/>
          <w:color w:val="000000"/>
          <w:sz w:val="28"/>
          <w:szCs w:val="28"/>
        </w:rPr>
        <w:t>奖励金额5</w:t>
      </w:r>
      <w:r>
        <w:rPr>
          <w:rFonts w:hint="eastAsia" w:ascii="仿宋" w:hAnsi="仿宋" w:eastAsia="仿宋" w:cs="Tahoma"/>
          <w:color w:val="000000"/>
          <w:sz w:val="28"/>
          <w:szCs w:val="28"/>
        </w:rPr>
        <w:t>000元，</w:t>
      </w:r>
      <w:r>
        <w:rPr>
          <w:rFonts w:ascii="仿宋" w:hAnsi="仿宋" w:eastAsia="仿宋" w:cs="Tahoma"/>
          <w:color w:val="000000"/>
          <w:sz w:val="28"/>
          <w:szCs w:val="28"/>
        </w:rPr>
        <w:t>一等奖奖励金额</w:t>
      </w:r>
      <w:r>
        <w:rPr>
          <w:rFonts w:hint="eastAsia" w:ascii="仿宋" w:hAnsi="仿宋" w:eastAsia="仿宋" w:cs="Tahoma"/>
          <w:color w:val="000000"/>
          <w:sz w:val="28"/>
          <w:szCs w:val="28"/>
        </w:rPr>
        <w:t>3</w:t>
      </w:r>
      <w:r>
        <w:rPr>
          <w:rFonts w:ascii="仿宋" w:hAnsi="仿宋" w:eastAsia="仿宋" w:cs="Tahoma"/>
          <w:color w:val="000000"/>
          <w:sz w:val="28"/>
          <w:szCs w:val="28"/>
        </w:rPr>
        <w:t>0</w:t>
      </w:r>
      <w:r>
        <w:rPr>
          <w:rFonts w:hint="eastAsia" w:ascii="仿宋" w:hAnsi="仿宋" w:eastAsia="仿宋" w:cs="Tahoma"/>
          <w:color w:val="000000"/>
          <w:sz w:val="28"/>
          <w:szCs w:val="28"/>
        </w:rPr>
        <w:t>00元，</w:t>
      </w:r>
      <w:r>
        <w:rPr>
          <w:rFonts w:ascii="仿宋" w:hAnsi="仿宋" w:eastAsia="仿宋" w:cs="Tahoma"/>
          <w:color w:val="000000"/>
          <w:sz w:val="28"/>
          <w:szCs w:val="28"/>
        </w:rPr>
        <w:t>优秀奖奖励金额</w:t>
      </w:r>
      <w:r>
        <w:rPr>
          <w:rFonts w:hint="eastAsia" w:ascii="仿宋" w:hAnsi="仿宋" w:eastAsia="仿宋" w:cs="Tahoma"/>
          <w:color w:val="000000"/>
          <w:sz w:val="28"/>
          <w:szCs w:val="28"/>
        </w:rPr>
        <w:t>1000元。获得省级以上科研课题的学生在同等条件下优先考虑。</w:t>
      </w:r>
    </w:p>
    <w:p>
      <w:pPr>
        <w:pStyle w:val="4"/>
        <w:shd w:val="clear" w:color="auto" w:fill="FFFFFF"/>
        <w:spacing w:before="0" w:beforeAutospacing="0" w:after="0" w:afterAutospacing="0" w:line="500" w:lineRule="atLeast"/>
        <w:ind w:firstLine="560"/>
        <w:rPr>
          <w:rFonts w:ascii="仿宋" w:hAnsi="仿宋" w:eastAsia="仿宋" w:cs="Tahoma"/>
          <w:color w:val="000000"/>
          <w:sz w:val="28"/>
          <w:szCs w:val="28"/>
        </w:rPr>
      </w:pPr>
      <w:r>
        <w:rPr>
          <w:rFonts w:hint="eastAsia" w:ascii="仿宋" w:hAnsi="仿宋" w:eastAsia="仿宋" w:cs="Tahoma"/>
          <w:color w:val="000000"/>
          <w:sz w:val="28"/>
          <w:szCs w:val="28"/>
        </w:rPr>
        <w:t>特等奖：取得国家级学术类学科竞赛一等奖及以上奖励；以第一作者、杭州医学院为第一单位发表一区</w:t>
      </w:r>
      <w:r>
        <w:rPr>
          <w:rFonts w:ascii="仿宋" w:hAnsi="仿宋" w:eastAsia="仿宋" w:cs="Tahoma"/>
          <w:color w:val="000000"/>
          <w:sz w:val="28"/>
          <w:szCs w:val="28"/>
        </w:rPr>
        <w:t>SCI</w:t>
      </w:r>
      <w:r>
        <w:rPr>
          <w:rFonts w:hint="eastAsia" w:ascii="仿宋" w:hAnsi="仿宋" w:eastAsia="仿宋" w:cs="Tahoma"/>
          <w:color w:val="000000"/>
          <w:sz w:val="28"/>
          <w:szCs w:val="28"/>
        </w:rPr>
        <w:t>论文同时影响因子大于2的论文；或者影响因子大于5的论文；获授权发明专利；被邀请在国际大会上进行学术报告，可以申报“泰格医药卓越奖学金”特等奖</w:t>
      </w:r>
      <w:r>
        <w:rPr>
          <w:rFonts w:ascii="仿宋" w:hAnsi="仿宋" w:eastAsia="仿宋" w:cs="Tahoma"/>
          <w:color w:val="000000"/>
          <w:sz w:val="28"/>
          <w:szCs w:val="28"/>
        </w:rPr>
        <w:t>。</w:t>
      </w:r>
    </w:p>
    <w:p>
      <w:pPr>
        <w:pStyle w:val="4"/>
        <w:shd w:val="clear" w:color="auto" w:fill="FFFFFF"/>
        <w:spacing w:before="0" w:beforeAutospacing="0" w:after="0" w:afterAutospacing="0" w:line="500" w:lineRule="atLeast"/>
        <w:ind w:firstLine="560"/>
        <w:rPr>
          <w:rFonts w:ascii="仿宋_GB2312" w:hAnsi="Tahoma" w:eastAsia="仿宋_GB2312" w:cs="Tahoma"/>
          <w:sz w:val="28"/>
          <w:szCs w:val="28"/>
        </w:rPr>
      </w:pPr>
      <w:r>
        <w:rPr>
          <w:rFonts w:hint="eastAsia" w:ascii="仿宋" w:hAnsi="仿宋" w:eastAsia="仿宋" w:cs="Tahoma"/>
          <w:color w:val="000000"/>
          <w:sz w:val="28"/>
          <w:szCs w:val="28"/>
        </w:rPr>
        <w:t>一等奖：取得省级学术类学科竞赛一等奖及以上奖励；发表二区S</w:t>
      </w:r>
      <w:r>
        <w:rPr>
          <w:rFonts w:ascii="仿宋" w:hAnsi="仿宋" w:eastAsia="仿宋" w:cs="Tahoma"/>
          <w:color w:val="000000"/>
          <w:sz w:val="28"/>
          <w:szCs w:val="28"/>
        </w:rPr>
        <w:t>CI</w:t>
      </w:r>
      <w:r>
        <w:rPr>
          <w:rFonts w:hint="eastAsia" w:ascii="仿宋" w:hAnsi="仿宋" w:eastAsia="仿宋" w:cs="Tahoma"/>
          <w:color w:val="000000"/>
          <w:sz w:val="28"/>
          <w:szCs w:val="28"/>
        </w:rPr>
        <w:t>或E</w:t>
      </w:r>
      <w:r>
        <w:rPr>
          <w:rFonts w:ascii="仿宋" w:hAnsi="仿宋" w:eastAsia="仿宋" w:cs="Tahoma"/>
          <w:color w:val="000000"/>
          <w:sz w:val="28"/>
          <w:szCs w:val="28"/>
        </w:rPr>
        <w:t>SI</w:t>
      </w:r>
      <w:r>
        <w:rPr>
          <w:rFonts w:hint="eastAsia" w:ascii="仿宋" w:hAnsi="仿宋" w:eastAsia="仿宋" w:cs="Tahoma"/>
          <w:color w:val="000000"/>
          <w:sz w:val="28"/>
          <w:szCs w:val="28"/>
        </w:rPr>
        <w:t>收录论文，同时影响因子大于2；被邀请在国家级大会上进行学术报告并获三等奖以上。可以申报“泰格医药卓越奖学金”一等奖</w:t>
      </w:r>
      <w:r>
        <w:rPr>
          <w:rFonts w:ascii="仿宋" w:hAnsi="仿宋" w:eastAsia="仿宋" w:cs="Tahoma"/>
          <w:color w:val="000000"/>
          <w:sz w:val="28"/>
          <w:szCs w:val="28"/>
        </w:rPr>
        <w:t>。</w:t>
      </w:r>
    </w:p>
    <w:p>
      <w:pPr>
        <w:pStyle w:val="4"/>
        <w:shd w:val="clear" w:color="auto" w:fill="FFFFFF"/>
        <w:spacing w:before="0" w:beforeAutospacing="0" w:after="0" w:afterAutospacing="0" w:line="500" w:lineRule="atLeast"/>
        <w:ind w:firstLine="560"/>
        <w:rPr>
          <w:rFonts w:ascii="仿宋" w:hAnsi="仿宋" w:eastAsia="仿宋" w:cstheme="minorBidi"/>
          <w:bCs/>
          <w:kern w:val="2"/>
          <w:sz w:val="28"/>
          <w:szCs w:val="28"/>
        </w:rPr>
      </w:pPr>
      <w:r>
        <w:rPr>
          <w:rFonts w:hint="eastAsia" w:ascii="仿宋" w:hAnsi="仿宋" w:eastAsia="仿宋" w:cstheme="minorBidi"/>
          <w:bCs/>
          <w:kern w:val="2"/>
          <w:sz w:val="28"/>
          <w:szCs w:val="28"/>
        </w:rPr>
        <w:t>优秀奖：取得省级</w:t>
      </w:r>
      <w:r>
        <w:rPr>
          <w:rFonts w:hint="eastAsia" w:ascii="仿宋" w:hAnsi="仿宋" w:eastAsia="仿宋" w:cs="Tahoma"/>
          <w:color w:val="000000"/>
          <w:sz w:val="28"/>
          <w:szCs w:val="28"/>
        </w:rPr>
        <w:t>学术类学科竞赛</w:t>
      </w:r>
      <w:r>
        <w:rPr>
          <w:rFonts w:hint="eastAsia" w:ascii="仿宋" w:hAnsi="仿宋" w:eastAsia="仿宋" w:cstheme="minorBidi"/>
          <w:bCs/>
          <w:kern w:val="2"/>
          <w:sz w:val="28"/>
          <w:szCs w:val="28"/>
        </w:rPr>
        <w:t>三等奖及以上同时获校级三等奖以上的奖励；发表三区</w:t>
      </w:r>
      <w:r>
        <w:rPr>
          <w:rFonts w:ascii="仿宋" w:hAnsi="仿宋" w:eastAsia="仿宋" w:cstheme="minorBidi"/>
          <w:bCs/>
          <w:kern w:val="2"/>
          <w:sz w:val="28"/>
          <w:szCs w:val="28"/>
        </w:rPr>
        <w:t>SCI</w:t>
      </w:r>
      <w:r>
        <w:rPr>
          <w:rFonts w:hint="eastAsia" w:ascii="仿宋" w:hAnsi="仿宋" w:eastAsia="仿宋" w:cstheme="minorBidi"/>
          <w:bCs/>
          <w:kern w:val="2"/>
          <w:sz w:val="28"/>
          <w:szCs w:val="28"/>
        </w:rPr>
        <w:t>或E</w:t>
      </w:r>
      <w:r>
        <w:rPr>
          <w:rFonts w:ascii="仿宋" w:hAnsi="仿宋" w:eastAsia="仿宋" w:cstheme="minorBidi"/>
          <w:bCs/>
          <w:kern w:val="2"/>
          <w:sz w:val="28"/>
          <w:szCs w:val="28"/>
        </w:rPr>
        <w:t>SI</w:t>
      </w:r>
      <w:r>
        <w:rPr>
          <w:rFonts w:hint="eastAsia" w:ascii="仿宋" w:hAnsi="仿宋" w:eastAsia="仿宋" w:cstheme="minorBidi"/>
          <w:bCs/>
          <w:kern w:val="2"/>
          <w:sz w:val="28"/>
          <w:szCs w:val="28"/>
        </w:rPr>
        <w:t>收录论文；或一级期刊杂志1篇及以上；二级期刊杂志2篇及以上；被邀请在省级大会上进行学术报告并获三等奖以上。可以申报“泰格医药卓越奖学金”优秀奖。</w:t>
      </w:r>
    </w:p>
    <w:p>
      <w:pPr>
        <w:pStyle w:val="4"/>
        <w:shd w:val="clear" w:color="auto" w:fill="FFFFFF"/>
        <w:spacing w:before="0" w:beforeAutospacing="0" w:after="0" w:afterAutospacing="0" w:line="500" w:lineRule="atLeast"/>
        <w:ind w:firstLine="560"/>
        <w:rPr>
          <w:rFonts w:ascii="仿宋" w:hAnsi="仿宋" w:eastAsia="仿宋" w:cstheme="minorBidi"/>
          <w:bCs/>
          <w:kern w:val="2"/>
          <w:sz w:val="28"/>
          <w:szCs w:val="28"/>
        </w:rPr>
      </w:pPr>
      <w:r>
        <w:rPr>
          <w:rFonts w:hint="eastAsia" w:ascii="仿宋" w:hAnsi="仿宋" w:eastAsia="仿宋" w:cstheme="minorBidi"/>
          <w:bCs/>
          <w:sz w:val="28"/>
          <w:szCs w:val="28"/>
        </w:rPr>
        <w:t>根据申报者当年业绩情况，“泰格医药卓越</w:t>
      </w:r>
      <w:r>
        <w:rPr>
          <w:rFonts w:ascii="仿宋" w:hAnsi="仿宋" w:eastAsia="仿宋" w:cstheme="minorBidi"/>
          <w:bCs/>
          <w:sz w:val="28"/>
          <w:szCs w:val="28"/>
        </w:rPr>
        <w:t>奖学金</w:t>
      </w:r>
      <w:r>
        <w:rPr>
          <w:rFonts w:hint="eastAsia" w:ascii="仿宋" w:hAnsi="仿宋" w:eastAsia="仿宋" w:cstheme="minorBidi"/>
          <w:bCs/>
          <w:sz w:val="28"/>
          <w:szCs w:val="28"/>
        </w:rPr>
        <w:t>”特等奖或一等奖可以空缺，“泰格医药卓越奖学金”可与其他奖学金兼得。</w:t>
      </w:r>
    </w:p>
    <w:p>
      <w:pPr>
        <w:pStyle w:val="4"/>
        <w:shd w:val="clear" w:color="auto" w:fill="FFFFFF"/>
        <w:spacing w:before="0" w:beforeAutospacing="0" w:after="0" w:afterAutospacing="0" w:line="500" w:lineRule="atLeast"/>
        <w:ind w:firstLine="560"/>
        <w:rPr>
          <w:rFonts w:ascii="仿宋" w:hAnsi="仿宋" w:eastAsia="仿宋" w:cstheme="minorBidi"/>
          <w:bCs/>
          <w:kern w:val="2"/>
          <w:sz w:val="28"/>
          <w:szCs w:val="28"/>
        </w:rPr>
      </w:pPr>
      <w:r>
        <w:rPr>
          <w:rFonts w:hint="eastAsia" w:ascii="仿宋" w:hAnsi="仿宋" w:eastAsia="仿宋"/>
          <w:bCs/>
          <w:sz w:val="28"/>
          <w:szCs w:val="28"/>
        </w:rPr>
        <w:t>三、奖学金评审时间、机构、程序及申诉</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（一）评审时间</w:t>
      </w:r>
    </w:p>
    <w:p>
      <w:pPr>
        <w:spacing w:line="560" w:lineRule="exact"/>
        <w:ind w:firstLine="560" w:firstLineChars="200"/>
        <w:rPr>
          <w:rFonts w:ascii="仿宋_GB2312" w:eastAsia="仿宋_GB2312" w:cs="Tahoma"/>
          <w:color w:val="000000"/>
          <w:sz w:val="28"/>
          <w:szCs w:val="28"/>
        </w:rPr>
      </w:pPr>
      <w:r>
        <w:rPr>
          <w:rFonts w:hint="eastAsia" w:ascii="仿宋" w:hAnsi="仿宋" w:eastAsia="仿宋"/>
          <w:bCs/>
          <w:sz w:val="28"/>
          <w:szCs w:val="28"/>
        </w:rPr>
        <w:t>奖学金的评定工作于每年9月份启动，当年12月底前完成。</w:t>
      </w:r>
      <w:r>
        <w:rPr>
          <w:rFonts w:ascii="仿宋_GB2312" w:eastAsia="仿宋_GB2312" w:cs="Tahoma"/>
          <w:color w:val="000000"/>
          <w:sz w:val="28"/>
          <w:szCs w:val="28"/>
        </w:rPr>
        <w:t xml:space="preserve"> </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（二）评审机构</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药学院</w:t>
      </w:r>
      <w:r>
        <w:rPr>
          <w:rFonts w:ascii="仿宋" w:hAnsi="仿宋" w:eastAsia="仿宋"/>
          <w:bCs/>
          <w:sz w:val="28"/>
          <w:szCs w:val="28"/>
        </w:rPr>
        <w:t>和</w:t>
      </w:r>
      <w:r>
        <w:rPr>
          <w:rFonts w:hint="eastAsia" w:ascii="仿宋" w:hAnsi="仿宋" w:eastAsia="仿宋"/>
          <w:bCs/>
          <w:sz w:val="28"/>
          <w:szCs w:val="28"/>
        </w:rPr>
        <w:t>杭州泰格医药科技股份有限公司设立“泰格</w:t>
      </w:r>
      <w:r>
        <w:rPr>
          <w:rFonts w:ascii="仿宋" w:hAnsi="仿宋" w:eastAsia="仿宋"/>
          <w:bCs/>
          <w:sz w:val="28"/>
          <w:szCs w:val="28"/>
        </w:rPr>
        <w:t>医药</w:t>
      </w:r>
      <w:r>
        <w:rPr>
          <w:rFonts w:hint="eastAsia" w:ascii="仿宋" w:hAnsi="仿宋" w:eastAsia="仿宋"/>
          <w:bCs/>
          <w:sz w:val="28"/>
          <w:szCs w:val="28"/>
        </w:rPr>
        <w:t>教育基金”评审小组（以下简称评审小组）。评审小组由学院分管领导、药学专业负责人、杭州泰格</w:t>
      </w:r>
      <w:r>
        <w:rPr>
          <w:rFonts w:ascii="仿宋" w:hAnsi="仿宋" w:eastAsia="仿宋"/>
          <w:bCs/>
          <w:sz w:val="28"/>
          <w:szCs w:val="28"/>
        </w:rPr>
        <w:t>医药科技股份</w:t>
      </w:r>
      <w:r>
        <w:rPr>
          <w:rFonts w:hint="eastAsia" w:ascii="仿宋" w:hAnsi="仿宋" w:eastAsia="仿宋"/>
          <w:bCs/>
          <w:sz w:val="28"/>
          <w:szCs w:val="28"/>
        </w:rPr>
        <w:t>有限</w:t>
      </w:r>
      <w:r>
        <w:rPr>
          <w:rFonts w:ascii="仿宋" w:hAnsi="仿宋" w:eastAsia="仿宋"/>
          <w:bCs/>
          <w:sz w:val="28"/>
          <w:szCs w:val="28"/>
        </w:rPr>
        <w:t>公司负责人、</w:t>
      </w:r>
      <w:r>
        <w:rPr>
          <w:rFonts w:hint="eastAsia" w:ascii="仿宋" w:hAnsi="仿宋" w:eastAsia="仿宋"/>
          <w:bCs/>
          <w:sz w:val="28"/>
          <w:szCs w:val="28"/>
        </w:rPr>
        <w:t>院办负责人、学工办负责人、</w:t>
      </w:r>
      <w:r>
        <w:rPr>
          <w:rFonts w:ascii="仿宋" w:hAnsi="仿宋" w:eastAsia="仿宋"/>
          <w:bCs/>
          <w:sz w:val="28"/>
          <w:szCs w:val="28"/>
        </w:rPr>
        <w:t>学生代表</w:t>
      </w:r>
      <w:r>
        <w:rPr>
          <w:rFonts w:hint="eastAsia" w:ascii="仿宋" w:hAnsi="仿宋" w:eastAsia="仿宋"/>
          <w:bCs/>
          <w:sz w:val="28"/>
          <w:szCs w:val="28"/>
        </w:rPr>
        <w:t>等为组员，评审小组的主要职能是讨论和决定有关奖学金的重要事项和问题，制定修改奖学金的评定办法，审批奖学金获得者名单。</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（三）评审程序</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在评奖中必须坚持“公平、公正、公开”和“宁缺毋滥”的原则，实行公示制度，做到评选条件、评奖名额、评奖程序和评奖结果公开。</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具体评选程序如下：1．学生根据本人表现，对照评审条件，向评审</w:t>
      </w:r>
      <w:r>
        <w:rPr>
          <w:rFonts w:ascii="仿宋" w:hAnsi="仿宋" w:eastAsia="仿宋"/>
          <w:bCs/>
          <w:sz w:val="28"/>
          <w:szCs w:val="28"/>
        </w:rPr>
        <w:t>小组</w:t>
      </w:r>
      <w:r>
        <w:rPr>
          <w:rFonts w:hint="eastAsia" w:ascii="仿宋" w:hAnsi="仿宋" w:eastAsia="仿宋"/>
          <w:bCs/>
          <w:sz w:val="28"/>
          <w:szCs w:val="28"/>
        </w:rPr>
        <w:t>提出申请，并填写《杭州医学院药学院</w:t>
      </w:r>
      <w:r>
        <w:rPr>
          <w:rFonts w:ascii="仿宋" w:hAnsi="仿宋" w:eastAsia="仿宋"/>
          <w:bCs/>
          <w:sz w:val="28"/>
          <w:szCs w:val="28"/>
        </w:rPr>
        <w:t>“</w:t>
      </w:r>
      <w:r>
        <w:rPr>
          <w:rFonts w:hint="eastAsia" w:ascii="仿宋" w:hAnsi="仿宋" w:eastAsia="仿宋"/>
          <w:bCs/>
          <w:sz w:val="28"/>
          <w:szCs w:val="28"/>
        </w:rPr>
        <w:t>泰格</w:t>
      </w:r>
      <w:r>
        <w:rPr>
          <w:rFonts w:ascii="仿宋" w:hAnsi="仿宋" w:eastAsia="仿宋"/>
          <w:bCs/>
          <w:sz w:val="28"/>
          <w:szCs w:val="28"/>
        </w:rPr>
        <w:t>医药”</w:t>
      </w:r>
      <w:r>
        <w:rPr>
          <w:rFonts w:hint="eastAsia" w:ascii="仿宋" w:hAnsi="仿宋" w:eastAsia="仿宋"/>
          <w:bCs/>
          <w:sz w:val="28"/>
          <w:szCs w:val="28"/>
        </w:rPr>
        <w:t>奖学金申请表》；2．评审小组对提出申请的学生进行统一评审，并对拟获奖学生名单在学院内进行公示，公示期一般为5天，经公示无异议后，评审小组将各类奖学金拟获奖名单报药学院和</w:t>
      </w:r>
      <w:r>
        <w:rPr>
          <w:rFonts w:ascii="仿宋" w:hAnsi="仿宋" w:eastAsia="仿宋"/>
          <w:bCs/>
          <w:sz w:val="28"/>
          <w:szCs w:val="28"/>
        </w:rPr>
        <w:t>杭州泰格医药科技股份有限公司进行</w:t>
      </w:r>
      <w:r>
        <w:rPr>
          <w:rFonts w:hint="eastAsia" w:ascii="仿宋" w:hAnsi="仿宋" w:eastAsia="仿宋"/>
          <w:bCs/>
          <w:sz w:val="28"/>
          <w:szCs w:val="28"/>
        </w:rPr>
        <w:t>审批，无异议后由药学院发文公布并进行表彰。</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（四）评审申诉</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学生个人如对奖学金初评结果有异议，可在初评结果公布之日起3个工作日内向评审小组提出申诉，评审小组在接受申诉后3个工作日内，征求各方面意见、综合审查并提出处理意见，此处理意见为最终处理意见。</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五、奖惩办法</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各类奖学金获奖名单，由学院发文公布并进行表彰。获奖学生中，凡发现有弄虚作假、欺骗组织等行为者，评审</w:t>
      </w:r>
      <w:r>
        <w:rPr>
          <w:rFonts w:ascii="仿宋" w:hAnsi="仿宋" w:eastAsia="仿宋"/>
          <w:bCs/>
          <w:sz w:val="28"/>
          <w:szCs w:val="28"/>
        </w:rPr>
        <w:t>小组</w:t>
      </w:r>
      <w:r>
        <w:rPr>
          <w:rFonts w:hint="eastAsia" w:ascii="仿宋" w:hAnsi="仿宋" w:eastAsia="仿宋"/>
          <w:bCs/>
          <w:sz w:val="28"/>
          <w:szCs w:val="28"/>
        </w:rPr>
        <w:t>将撤销其荣誉，追缴已发的奖学金，并予以相应的纪律处分。</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六、附则</w:t>
      </w:r>
    </w:p>
    <w:p>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（一）同一年度学生个人所获各类奖学金总额不得超过人民币1万元。如因兼评多项奖学金出现奖学金总额超过1万元的，则除获荣誉外不再兼得超额部分奖学金。</w:t>
      </w:r>
    </w:p>
    <w:p>
      <w:pPr>
        <w:spacing w:line="560" w:lineRule="exact"/>
        <w:ind w:firstLine="560" w:firstLineChars="200"/>
        <w:rPr>
          <w:rFonts w:ascii="仿宋_GB2312" w:eastAsia="仿宋_GB2312"/>
          <w:sz w:val="30"/>
          <w:szCs w:val="30"/>
        </w:rPr>
      </w:pPr>
      <w:r>
        <w:rPr>
          <w:rFonts w:hint="eastAsia" w:ascii="仿宋" w:hAnsi="仿宋" w:eastAsia="仿宋"/>
          <w:bCs/>
          <w:sz w:val="28"/>
          <w:szCs w:val="28"/>
        </w:rPr>
        <w:t>（二）本办法由“泰格</w:t>
      </w:r>
      <w:r>
        <w:rPr>
          <w:rFonts w:ascii="仿宋" w:hAnsi="仿宋" w:eastAsia="仿宋"/>
          <w:bCs/>
          <w:sz w:val="28"/>
          <w:szCs w:val="28"/>
        </w:rPr>
        <w:t>医药奖学金</w:t>
      </w:r>
      <w:r>
        <w:rPr>
          <w:rFonts w:hint="eastAsia" w:ascii="仿宋" w:hAnsi="仿宋" w:eastAsia="仿宋"/>
          <w:bCs/>
          <w:sz w:val="28"/>
          <w:szCs w:val="28"/>
        </w:rPr>
        <w:t>”评审</w:t>
      </w:r>
      <w:r>
        <w:rPr>
          <w:rFonts w:ascii="仿宋" w:hAnsi="仿宋" w:eastAsia="仿宋"/>
          <w:bCs/>
          <w:sz w:val="28"/>
          <w:szCs w:val="28"/>
        </w:rPr>
        <w:t>小组</w:t>
      </w:r>
      <w:r>
        <w:rPr>
          <w:rFonts w:hint="eastAsia" w:ascii="仿宋" w:hAnsi="仿宋" w:eastAsia="仿宋"/>
          <w:bCs/>
          <w:sz w:val="28"/>
          <w:szCs w:val="28"/>
        </w:rPr>
        <w:t>负责解释。</w:t>
      </w:r>
      <w:bookmarkStart w:id="0" w:name="_GoBack"/>
      <w:bookmarkEnd w:id="0"/>
    </w:p>
    <w:sectPr>
      <w:footerReference r:id="rId3" w:type="default"/>
      <w:pgSz w:w="11906" w:h="16838"/>
      <w:pgMar w:top="1701"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90433"/>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23E3"/>
    <w:rsid w:val="00004566"/>
    <w:rsid w:val="00021139"/>
    <w:rsid w:val="00035655"/>
    <w:rsid w:val="00055AEF"/>
    <w:rsid w:val="00072121"/>
    <w:rsid w:val="00073A83"/>
    <w:rsid w:val="000B46DD"/>
    <w:rsid w:val="000B7A1C"/>
    <w:rsid w:val="001323AC"/>
    <w:rsid w:val="001422E5"/>
    <w:rsid w:val="001B153D"/>
    <w:rsid w:val="001C1BA3"/>
    <w:rsid w:val="001C3329"/>
    <w:rsid w:val="001F3AE3"/>
    <w:rsid w:val="00253B85"/>
    <w:rsid w:val="002841F5"/>
    <w:rsid w:val="0029573F"/>
    <w:rsid w:val="002E7B3F"/>
    <w:rsid w:val="00317884"/>
    <w:rsid w:val="00325515"/>
    <w:rsid w:val="003603BD"/>
    <w:rsid w:val="00363C1B"/>
    <w:rsid w:val="003832B3"/>
    <w:rsid w:val="00386AC5"/>
    <w:rsid w:val="00394538"/>
    <w:rsid w:val="003B3A66"/>
    <w:rsid w:val="003B7791"/>
    <w:rsid w:val="003F65FE"/>
    <w:rsid w:val="00403986"/>
    <w:rsid w:val="00424909"/>
    <w:rsid w:val="0044408B"/>
    <w:rsid w:val="004451AF"/>
    <w:rsid w:val="004C4229"/>
    <w:rsid w:val="004E5F77"/>
    <w:rsid w:val="004E7808"/>
    <w:rsid w:val="00561947"/>
    <w:rsid w:val="00591601"/>
    <w:rsid w:val="005E20C3"/>
    <w:rsid w:val="005F0946"/>
    <w:rsid w:val="005F27AF"/>
    <w:rsid w:val="006119FD"/>
    <w:rsid w:val="0062350D"/>
    <w:rsid w:val="00631C20"/>
    <w:rsid w:val="006444DA"/>
    <w:rsid w:val="00651CC1"/>
    <w:rsid w:val="006709B5"/>
    <w:rsid w:val="006C0831"/>
    <w:rsid w:val="00730EEF"/>
    <w:rsid w:val="00781097"/>
    <w:rsid w:val="007A40AD"/>
    <w:rsid w:val="007D0DEC"/>
    <w:rsid w:val="007D32A9"/>
    <w:rsid w:val="007D3CDE"/>
    <w:rsid w:val="007F15C7"/>
    <w:rsid w:val="0087127F"/>
    <w:rsid w:val="008E462C"/>
    <w:rsid w:val="00900927"/>
    <w:rsid w:val="00923A64"/>
    <w:rsid w:val="00937541"/>
    <w:rsid w:val="00947107"/>
    <w:rsid w:val="00976CE7"/>
    <w:rsid w:val="009A2147"/>
    <w:rsid w:val="009A4FC5"/>
    <w:rsid w:val="009A5A2D"/>
    <w:rsid w:val="009C61D2"/>
    <w:rsid w:val="009D4166"/>
    <w:rsid w:val="009F5368"/>
    <w:rsid w:val="009F7736"/>
    <w:rsid w:val="00A2502B"/>
    <w:rsid w:val="00A26EB2"/>
    <w:rsid w:val="00A62675"/>
    <w:rsid w:val="00A85F49"/>
    <w:rsid w:val="00AC60C9"/>
    <w:rsid w:val="00AD5857"/>
    <w:rsid w:val="00AE3081"/>
    <w:rsid w:val="00B0516F"/>
    <w:rsid w:val="00B35BDF"/>
    <w:rsid w:val="00B44F5B"/>
    <w:rsid w:val="00B62AC6"/>
    <w:rsid w:val="00B75574"/>
    <w:rsid w:val="00B941EC"/>
    <w:rsid w:val="00BC2A01"/>
    <w:rsid w:val="00BC5403"/>
    <w:rsid w:val="00C14F92"/>
    <w:rsid w:val="00C26B20"/>
    <w:rsid w:val="00C423E3"/>
    <w:rsid w:val="00C504F0"/>
    <w:rsid w:val="00C61917"/>
    <w:rsid w:val="00D115DA"/>
    <w:rsid w:val="00D23F52"/>
    <w:rsid w:val="00D74295"/>
    <w:rsid w:val="00D83325"/>
    <w:rsid w:val="00DA1AF6"/>
    <w:rsid w:val="00DB58AF"/>
    <w:rsid w:val="00DC0AF4"/>
    <w:rsid w:val="00DE090B"/>
    <w:rsid w:val="00E646BE"/>
    <w:rsid w:val="00E64A72"/>
    <w:rsid w:val="00E72E2C"/>
    <w:rsid w:val="00E76930"/>
    <w:rsid w:val="00E80EC7"/>
    <w:rsid w:val="00E940A9"/>
    <w:rsid w:val="00EE39D5"/>
    <w:rsid w:val="00F110DE"/>
    <w:rsid w:val="00F35223"/>
    <w:rsid w:val="00F7685F"/>
    <w:rsid w:val="00F86707"/>
    <w:rsid w:val="00FA3C90"/>
    <w:rsid w:val="00FD79E6"/>
    <w:rsid w:val="00FF1407"/>
    <w:rsid w:val="4B6067E1"/>
    <w:rsid w:val="79F072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3"/>
    <w:uiPriority w:val="99"/>
    <w:rPr>
      <w:sz w:val="18"/>
      <w:szCs w:val="18"/>
    </w:rPr>
  </w:style>
  <w:style w:type="character" w:customStyle="1" w:styleId="10">
    <w:name w:val="页脚 Char"/>
    <w:basedOn w:val="7"/>
    <w:link w:val="2"/>
    <w:uiPriority w:val="99"/>
    <w:rPr>
      <w:sz w:val="18"/>
      <w:szCs w:val="18"/>
    </w:rPr>
  </w:style>
  <w:style w:type="paragraph" w:customStyle="1" w:styleId="11">
    <w:name w:val="列出段落1"/>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4D3E0-BB81-4362-86FB-4E8DDA97B661}">
  <ds:schemaRefs/>
</ds:datastoreItem>
</file>

<file path=docProps/app.xml><?xml version="1.0" encoding="utf-8"?>
<Properties xmlns="http://schemas.openxmlformats.org/officeDocument/2006/extended-properties" xmlns:vt="http://schemas.openxmlformats.org/officeDocument/2006/docPropsVTypes">
  <Template>Normal</Template>
  <Pages>8</Pages>
  <Words>553</Words>
  <Characters>3154</Characters>
  <Lines>26</Lines>
  <Paragraphs>7</Paragraphs>
  <TotalTime>32</TotalTime>
  <ScaleCrop>false</ScaleCrop>
  <LinksUpToDate>false</LinksUpToDate>
  <CharactersWithSpaces>3700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2019-10-23T03:22:00Z</dcterms:created>
  <dc:creator>邵利明</dc:creator>
  <cp:lastModifiedBy>远山</cp:lastModifiedBy>
  <cp:lastPrinted>2017-12-27T03:01:00Z</cp:lastPrinted>
  <dcterms:modified xsi:type="dcterms:W3CDTF">2020-09-28T07:22:42Z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